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HomePod construction RAMS</w:t>
      </w:r>
    </w:p>
    <w:p>
      <w:r>
        <w:rPr>
          <w:b/>
        </w:rPr>
        <w:t>Risk assessments and method statement | Revision 1 | 11 October 2026</w:t>
      </w:r>
    </w:p>
    <w:p>
      <w:r>
        <w:rPr>
          <w:b w:val="0"/>
        </w:rPr>
        <w:t>This master controls the assembly of finished IPS panels using the corrected build sequence. It must be completed for the actual site, checked by competent persons and briefed before work starts. The videos explain the sequence; issued drawings, temporary works and product instructions control the work.</w:t>
      </w:r>
    </w:p>
    <w:p>
      <w:r>
        <w:rPr>
          <w:b/>
        </w:rPr>
        <w:t>STATUS  Site-specific completion and release required</w:t>
      </w:r>
    </w:p>
    <w:tbl>
      <w:tblPr>
        <w:tblStyle w:val="TableGrid"/>
        <w:tblW w:type="auto" w:w="0"/>
        <w:tblLayout w:type="fixed"/>
        <w:tblLook w:firstColumn="1" w:firstRow="1" w:lastColumn="0" w:lastRow="0" w:noHBand="0" w:noVBand="1" w:val="04A0"/>
      </w:tblPr>
      <w:tblGrid>
        <w:gridCol w:w="5018"/>
        <w:gridCol w:w="5018"/>
      </w:tblGrid>
      <w:tr>
        <w:trPr>
          <w:tblHeader/>
          <w:cantSplit/>
        </w:trPr>
        <w:tc>
          <w:tcPr>
            <w:tcW w:type="dxa" w:w="3240"/>
            <w:shd w:fill="E7EFF3"/>
          </w:tcPr>
          <w:p>
            <w:pPr>
              <w:spacing w:after="80" w:before="60"/>
            </w:pPr>
            <w:r>
              <w:rPr>
                <w:b/>
                <w:sz w:val="19"/>
              </w:rPr>
              <w:t>Required detail</w:t>
            </w:r>
          </w:p>
        </w:tc>
        <w:tc>
          <w:tcPr>
            <w:tcW w:type="dxa" w:w="6552"/>
            <w:shd w:fill="E7EFF3"/>
          </w:tcPr>
          <w:p>
            <w:pPr>
              <w:spacing w:after="80" w:before="60"/>
            </w:pPr>
            <w:r>
              <w:rPr>
                <w:b/>
                <w:sz w:val="19"/>
              </w:rPr>
              <w:t>Site record</w:t>
            </w:r>
          </w:p>
        </w:tc>
      </w:tr>
      <w:tr>
        <w:trPr>
          <w:cantSplit/>
        </w:trPr>
        <w:tc>
          <w:tcPr>
            <w:tcW w:type="dxa" w:w="3240"/>
          </w:tcPr>
          <w:p>
            <w:pPr>
              <w:spacing w:after="80" w:before="60"/>
            </w:pPr>
            <w:r>
              <w:rPr>
                <w:sz w:val="19"/>
              </w:rPr>
              <w:t>Project and site address</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Client and principal contractor</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IPS supervisor and contact</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Assessor and competent reviewer</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Planned dates and crew size</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Drawing and fixing schedule revisions</w:t>
            </w:r>
          </w:p>
        </w:tc>
        <w:tc>
          <w:tcPr>
            <w:tcW w:type="dxa" w:w="6552"/>
          </w:tcPr>
          <w:p>
            <w:pPr>
              <w:spacing w:after="80" w:before="60"/>
            </w:pPr>
            <w:r>
              <w:rPr>
                <w:sz w:val="19"/>
              </w:rPr>
              <w:t>________________________________________</w:t>
            </w:r>
          </w:p>
        </w:tc>
      </w:tr>
    </w:tbl>
    <w:p>
      <w:r>
        <w:rPr>
          <w:b w:val="0"/>
        </w:rPr>
        <w:t>Fixings: Tapcon concrete fixings for sole plates and wall plates; Rawlplug screws for panel fixing. Use sizes, spacing, embedment, edge distances and installation requirements from the applicable Fixings North West specification and technical detail. Quote Q299705 dated 9 October 2026 is the pricing reference; listed stock sizes do not by themselves establish structural suitability.</w:t>
      </w:r>
    </w:p>
    <w:p>
      <w:pPr>
        <w:pStyle w:val="Heading2"/>
      </w:pPr>
      <w:r>
        <w:t>Scope and boundaries</w:t>
      </w:r>
    </w:p>
    <w:p>
      <w:r>
        <w:rPr>
          <w:b w:val="0"/>
        </w:rPr>
        <w:t>HomePod panel assembly, internal walls, flat roof, openings, finishes and fit-out; applicable at the designated assembly location.</w:t>
      </w:r>
    </w:p>
    <w:p>
      <w:r>
        <w:rPr>
          <w:b w:val="0"/>
        </w:rPr>
        <w:t>Excludes raw PU manufacture, foam injection, factory chemical mixing and machine cleaning. Also excludes excavation, live services, asbestos work and whole-building lifting/transport. Separate task plans are required if these activities enter the scope.</w:t>
      </w:r>
    </w:p>
    <w:p>
      <w:r>
        <w:rPr>
          <w:b w:val="0"/>
        </w:rPr>
        <w:t>Use with IPS-COSHH-C01 to C16 and HomePod and IPS Build Process Master Revision 8, including the fixing clarification dated 11 October 2026.</w:t>
      </w:r>
    </w:p>
    <w:p>
      <w:r>
        <w:br w:type="page"/>
      </w:r>
    </w:p>
    <w:p>
      <w:pPr>
        <w:pStyle w:val="Heading1"/>
      </w:pPr>
      <w:r>
        <w:t>Site controls and emergency arrangements</w:t>
      </w:r>
    </w:p>
    <w:p>
      <w:pPr>
        <w:pStyle w:val="Heading2"/>
      </w:pPr>
      <w:r>
        <w:t>Before mobilisation</w:t>
      </w:r>
    </w:p>
    <w:p>
      <w:r>
        <w:rPr>
          <w:b w:val="0"/>
        </w:rPr>
        <w:t>Principal contractor/site manager: coordinate these RAMS with the construction phase plan, site induction, traffic plan, welfare, public protection and other trades. Supervisor: verify competence, drawings, ground/platform capacity, services, plant checks, lifting plan, bracing design and safe access. Set the work zone and material storage before delivery.</w:t>
      </w:r>
    </w:p>
    <w:p>
      <w:pPr>
        <w:pStyle w:val="Heading2"/>
      </w:pPr>
      <w:r>
        <w:t>Competence and equipment</w:t>
      </w:r>
    </w:p>
    <w:p>
      <w:r>
        <w:rPr>
          <w:b w:val="0"/>
        </w:rPr>
        <w:t>Appoint the lift planner, lift supervisor and slinger/signaller; temporary works design/checking and site coordination; trained access-equipment operators; panel installers; competent electrical/plumbing trades; first aider. Verify guarded tools, compatible extraction, inspected access equipment, bracing, restraints and suitable handling aids. Record evidence rather than assuming competence from attendance.</w:t>
      </w:r>
    </w:p>
    <w:p>
      <w:pPr>
        <w:pStyle w:val="Heading2"/>
      </w:pPr>
      <w:r>
        <w:t>PPE and exposure control</w:t>
      </w:r>
    </w:p>
    <w:p>
      <w:r>
        <w:rPr>
          <w:b w:val="0"/>
        </w:rPr>
        <w:t>Select footwear, head protection, eye protection, high-visibility clothing and task gloves for the site. Add hearing protection, dust RPE or chemical PPE where the assessment requires it. Tight-fitting RPE needs a successful fit test and a clean seal area. Confirm glove material, breakthrough time and replacement frequency for actual site products. Use C01 for cured-panel dust, not a raw production chemical SDS.</w:t>
      </w:r>
    </w:p>
    <w:tbl>
      <w:tblPr>
        <w:tblStyle w:val="TableGrid"/>
        <w:tblW w:type="auto" w:w="0"/>
        <w:tblLayout w:type="fixed"/>
        <w:tblLook w:firstColumn="1" w:firstRow="1" w:lastColumn="0" w:lastRow="0" w:noHBand="0" w:noVBand="1" w:val="04A0"/>
      </w:tblPr>
      <w:tblGrid>
        <w:gridCol w:w="5018"/>
        <w:gridCol w:w="5018"/>
      </w:tblGrid>
      <w:tr>
        <w:trPr>
          <w:tblHeader/>
          <w:cantSplit/>
        </w:trPr>
        <w:tc>
          <w:tcPr>
            <w:tcW w:type="dxa" w:w="3240"/>
            <w:shd w:fill="E7EFF3"/>
          </w:tcPr>
          <w:p>
            <w:pPr>
              <w:spacing w:after="80" w:before="60"/>
            </w:pPr>
            <w:r>
              <w:rPr>
                <w:b/>
                <w:sz w:val="19"/>
              </w:rPr>
              <w:t>Required detail</w:t>
            </w:r>
          </w:p>
        </w:tc>
        <w:tc>
          <w:tcPr>
            <w:tcW w:type="dxa" w:w="6552"/>
            <w:shd w:fill="E7EFF3"/>
          </w:tcPr>
          <w:p>
            <w:pPr>
              <w:spacing w:after="80" w:before="60"/>
            </w:pPr>
            <w:r>
              <w:rPr>
                <w:b/>
                <w:sz w:val="19"/>
              </w:rPr>
              <w:t>Site record</w:t>
            </w:r>
          </w:p>
        </w:tc>
      </w:tr>
      <w:tr>
        <w:trPr>
          <w:cantSplit/>
        </w:trPr>
        <w:tc>
          <w:tcPr>
            <w:tcW w:type="dxa" w:w="3240"/>
          </w:tcPr>
          <w:p>
            <w:pPr>
              <w:spacing w:after="80" w:before="60"/>
            </w:pPr>
            <w:r>
              <w:rPr>
                <w:sz w:val="19"/>
              </w:rPr>
              <w:t>First aider and first-aid / eyewash location</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Muster point and emergency vehicle access</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Site address / location to give 999 or 112</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Rescue lead and height-rescue equipment</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Wind and weather limits / monitoring</w:t>
            </w:r>
          </w:p>
        </w:tc>
        <w:tc>
          <w:tcPr>
            <w:tcW w:type="dxa" w:w="6552"/>
          </w:tcPr>
          <w:p>
            <w:pPr>
              <w:spacing w:after="80" w:before="60"/>
            </w:pPr>
            <w:r>
              <w:rPr>
                <w:sz w:val="19"/>
              </w:rPr>
              <w:t>________________________________________</w:t>
            </w:r>
          </w:p>
        </w:tc>
      </w:tr>
      <w:tr>
        <w:trPr>
          <w:cantSplit/>
        </w:trPr>
        <w:tc>
          <w:tcPr>
            <w:tcW w:type="dxa" w:w="3240"/>
          </w:tcPr>
          <w:p>
            <w:pPr>
              <w:spacing w:after="80" w:before="60"/>
            </w:pPr>
            <w:r>
              <w:rPr>
                <w:sz w:val="19"/>
              </w:rPr>
              <w:t>Fire points and spill-response equipment</w:t>
            </w:r>
          </w:p>
        </w:tc>
        <w:tc>
          <w:tcPr>
            <w:tcW w:type="dxa" w:w="6552"/>
          </w:tcPr>
          <w:p>
            <w:pPr>
              <w:spacing w:after="80" w:before="60"/>
            </w:pPr>
            <w:r>
              <w:rPr>
                <w:sz w:val="19"/>
              </w:rPr>
              <w:t>________________________________________</w:t>
            </w:r>
          </w:p>
        </w:tc>
      </w:tr>
    </w:tbl>
    <w:p>
      <w:pPr>
        <w:pStyle w:val="Heading2"/>
      </w:pPr>
      <w:r>
        <w:t>Stop and respond</w:t>
      </w:r>
    </w:p>
    <w:p>
      <w:r>
        <w:rPr>
          <w:b w:val="0"/>
        </w:rPr>
        <w:t>Stop work, make safe without entering danger, isolate the zone and tell the supervisor. For serious injury, fire, collapse or breathing difficulty call 999/112 and direct responders to the access point. Do not attempt an unplanned rescue or enter smoke/contaminated air. Use the planned height rescue without relying solely on emergency services. For exposure follow the actual product SDS and first-aid plan; retain the label/SDS for responders.</w:t>
      </w:r>
    </w:p>
    <w:p>
      <w:r>
        <w:rPr>
          <w:b w:val="0"/>
        </w:rPr>
        <w:t>Review after changed design/product, incident, near miss, weather event or failed control. Brief revisions before restarting. All workers may stop unsafe work.</w:t>
      </w:r>
    </w:p>
    <w:p>
      <w:r>
        <w:br w:type="page"/>
      </w:r>
    </w:p>
    <w:p>
      <w:pPr>
        <w:pStyle w:val="Heading1"/>
      </w:pPr>
      <w:r>
        <w:t>Risk assessment 1</w:t>
      </w:r>
    </w:p>
    <w:p>
      <w:r>
        <w:rPr>
          <w:b w:val="0"/>
        </w:rPr>
        <w:t>Scoring: likelihood 1 rare, 2 unlikely, 3 possible, 4 likely, 5 almost certain; severity 1 minor, 2 treatment, 3 lost-time injury, 4 permanent harm, 5 fatality. Risk = L × S. 1–4 low; 5–9 medium; 10–16 high; 17–25 extreme. No high/extreme residual work. Medium requires verified controls and supervisor acceptance.</w:t>
      </w:r>
    </w:p>
    <w:p>
      <w:pPr>
        <w:pStyle w:val="Heading2"/>
      </w:pPr>
      <w:r>
        <w:t>RA01 Delivery and panel handling</w:t>
      </w:r>
    </w:p>
    <w:p>
      <w:r>
        <w:rPr>
          <w:b w:val="0"/>
        </w:rPr>
        <w:t>Operatives, driver and nearby people: crushing, strains or cuts. Initial 4 × 4 = 16; target residual 1 × 4 = 4. Owner: Site supervisor.</w:t>
      </w:r>
    </w:p>
    <w:p>
      <w:r>
        <w:rPr>
          <w:b w:val="0"/>
        </w:rPr>
        <w:t>Agree delivery route and unloading zone; separate pedestrians; verify panel weights and centre of gravity. Use suitable mechanical handling and protected storage supports. No hands under loads or leaning unsecured panels. Assess any team lift for the actual load and route; no assumed safe weight. Wear task-suitable gloves and safety footwear.</w:t>
      </w:r>
    </w:p>
    <w:p>
      <w:r>
        <w:rPr>
          <w:b w:val="0"/>
        </w:rPr>
        <w:t>Verify before task: Record load data, handling equipment, route and storage layout before unloading.</w:t>
      </w:r>
    </w:p>
    <w:p>
      <w:pPr>
        <w:pStyle w:val="Heading2"/>
      </w:pPr>
      <w:r>
        <w:t>RA02 Lifting panels and roof components</w:t>
      </w:r>
    </w:p>
    <w:p>
      <w:r>
        <w:rPr>
          <w:b w:val="0"/>
        </w:rPr>
        <w:t>Lift team and anyone in the exclusion zone: struck by or crushed load, potentially fatal. Initial 4 × 5 = 20; target residual 1 × 5 = 5. Owner: Lift planner and lift supervisor.</w:t>
      </w:r>
    </w:p>
    <w:p>
      <w:r>
        <w:rPr>
          <w:b w:val="0"/>
        </w:rPr>
        <w:t>Use a task-specific lift plan, verified attachment points and compatible certified lifting accessories. Check working platform capacity, radius, overhead services and wind limits. Appoint a competent slinger/signaller; maintain clear communications. Exclude people below suspended loads; secure and brace components before releasing lifting gear.</w:t>
      </w:r>
    </w:p>
    <w:p>
      <w:r>
        <w:rPr>
          <w:b w:val="0"/>
        </w:rPr>
        <w:t>Verify before task: Record lift plan, equipment examinations, attachment approval, wind limit and release check.</w:t>
      </w:r>
    </w:p>
    <w:p>
      <w:pPr>
        <w:pStyle w:val="Heading2"/>
      </w:pPr>
      <w:r>
        <w:t>RA03 Panel stability and temporary works</w:t>
      </w:r>
    </w:p>
    <w:p>
      <w:r>
        <w:rPr>
          <w:b w:val="0"/>
        </w:rPr>
        <w:t>Erection crew, other trades and public: collapse or overturning, potentially fatal. Initial 4 × 5 = 20; target residual 1 × 5 = 5. Owner: Temporary works lead and supervisor.</w:t>
      </w:r>
    </w:p>
    <w:p>
      <w:r>
        <w:rPr>
          <w:b w:val="0"/>
        </w:rPr>
        <w:t>Install designed temporary bracing and anchors progressively. Verify substrate capacity and anchorage. Complete each stable bay before proceeding; prevent unintended loads from stored materials or lifting operations. Keep braces until the designer-authorised release stage. Inspect after changes, impacts and adverse weather. Stop on movement, missing restraints or uncertain bearing.</w:t>
      </w:r>
    </w:p>
    <w:p>
      <w:r>
        <w:rPr>
          <w:b w:val="0"/>
        </w:rPr>
        <w:t>Verify before task: Bracing design, erection sequence, inspection and removal authority must be recorded.</w:t>
      </w:r>
    </w:p>
    <w:p>
      <w:pPr>
        <w:pStyle w:val="Heading2"/>
      </w:pPr>
      <w:r>
        <w:t>RA04 Falls from walls floors and roofs</w:t>
      </w:r>
    </w:p>
    <w:p>
      <w:r>
        <w:rPr>
          <w:b w:val="0"/>
        </w:rPr>
        <w:t>Installers and other trades: falls from edges, openings or incomplete surfaces, potentially fatal. Initial 4 × 5 = 20; target residual 1 × 5 = 5. Owner: Site supervisor and access contractor.</w:t>
      </w:r>
    </w:p>
    <w:p>
      <w:r>
        <w:rPr>
          <w:b w:val="0"/>
        </w:rPr>
        <w:t>Plan collective protection and guarded working platforms before work begins. Guard stairwells, floor openings and roof edges. Treat unverified roof panels as non-loadbearing for access; do not walk on incomplete or unsupported panels. Use an appropriate MEWP or scaffold. Any personal fall system needs suitable anchors, training and a rehearsed rescue plan.</w:t>
      </w:r>
    </w:p>
    <w:p>
      <w:r>
        <w:rPr>
          <w:b w:val="0"/>
        </w:rPr>
        <w:t>Verify before task: Record access inspection, edge protection, floor/roof loading authority and rescue arrangements.</w:t>
      </w:r>
    </w:p>
    <w:p>
      <w:r>
        <w:br w:type="page"/>
      </w:r>
    </w:p>
    <w:p>
      <w:pPr>
        <w:pStyle w:val="Heading1"/>
      </w:pPr>
      <w:r>
        <w:t>Risk assessment 2</w:t>
      </w:r>
    </w:p>
    <w:p>
      <w:r>
        <w:rPr>
          <w:b w:val="0"/>
        </w:rPr>
        <w:t>Ratings below are planning estimates. Residual scores are targets only, conditional on the stated controls and site verification; they are not a release to start work.</w:t>
      </w:r>
    </w:p>
    <w:p>
      <w:pPr>
        <w:pStyle w:val="Heading2"/>
      </w:pPr>
      <w:r>
        <w:t>RA05 Cutting and drilling finished panels</w:t>
      </w:r>
    </w:p>
    <w:p>
      <w:r>
        <w:rPr>
          <w:b w:val="0"/>
        </w:rPr>
        <w:t>Cutters, helpers and cleaners: mixed board and cured-core dust, eye injury and respiratory harm. Initial 4 × 4 = 16; target residual 1 × 4 = 4. Owner: Supervisor and COSHH assessor.</w:t>
      </w:r>
    </w:p>
    <w:p>
      <w:r>
        <w:rPr>
          <w:b w:val="0"/>
        </w:rPr>
        <w:t>Prefer factory-sized finished panels and planned openings. Use supported guarded tools and compatible on-tool extraction in a segregated area. Confirm finished-panel dust information, including board constituents; do not assign raw foam chemical hazards to the cured panel. Select RPE for residual exposure and fit-test tight-fitting masks. Vacuum cleanup; no dry sweeping, compressed air or thermal cutting.</w:t>
      </w:r>
    </w:p>
    <w:p>
      <w:r>
        <w:rPr>
          <w:b w:val="0"/>
        </w:rPr>
        <w:t>Verify before task: Release C01 and verify extraction/RPE before cutting; stop for failed extraction or visible dust escape.</w:t>
      </w:r>
    </w:p>
    <w:p>
      <w:pPr>
        <w:pStyle w:val="Heading2"/>
      </w:pPr>
      <w:r>
        <w:t>RA06 Power tools noise and vibration</w:t>
      </w:r>
    </w:p>
    <w:p>
      <w:r>
        <w:rPr>
          <w:b w:val="0"/>
        </w:rPr>
        <w:t>Tool users and nearby trades: cuts, eye injury, hearing damage, hand-arm vibration or electric shock. Initial 4 × 4 = 16; target residual 1 × 4 = 4. Owner: Tool operator and supervisor.</w:t>
      </w:r>
    </w:p>
    <w:p>
      <w:r>
        <w:rPr>
          <w:b w:val="0"/>
        </w:rPr>
        <w:t>Use trained operators, correct guards, clamps, blades and maintained tools. Isolate before adjustment. Prefer suitable cordless or reduced-voltage tools and protect leads. Assess noise and daily trigger time; choose quieter low-vibration tools, manage exposure and specify hearing protection. Keep loose clothing clear. Remove defective equipment from use.</w:t>
      </w:r>
    </w:p>
    <w:p>
      <w:r>
        <w:rPr>
          <w:b w:val="0"/>
        </w:rPr>
        <w:t>Verify before task: Check equipment, exposure assessment, maintenance and operator briefing each shift.</w:t>
      </w:r>
    </w:p>
    <w:p>
      <w:pPr>
        <w:pStyle w:val="Heading2"/>
      </w:pPr>
      <w:r>
        <w:t>RA07 Services and hidden hazards</w:t>
      </w:r>
    </w:p>
    <w:p>
      <w:r>
        <w:rPr>
          <w:b w:val="0"/>
        </w:rPr>
        <w:t>Drillers and adjacent people: contact with buried or concealed services, fire or shock. Initial 3 × 5 = 15; target residual 1 × 5 = 5. Owner: Site supervisor.</w:t>
      </w:r>
    </w:p>
    <w:p>
      <w:r>
        <w:rPr>
          <w:b w:val="0"/>
        </w:rPr>
        <w:t>Obtain service information, scan and mark the work area before drilling or anchoring. Confirm isolation where needed and obtain the applicable permit. Do not cut unknown existing materials; stop if suspect asbestos or contamination is found. Electrical and plumbing work is by competent trades with agreed isolation and testing.</w:t>
      </w:r>
    </w:p>
    <w:p>
      <w:r>
        <w:rPr>
          <w:b w:val="0"/>
        </w:rPr>
        <w:t>Verify before task: Record service survey, drilling clearance, isolation and specialist handover.</w:t>
      </w:r>
    </w:p>
    <w:p>
      <w:pPr>
        <w:pStyle w:val="Heading2"/>
      </w:pPr>
      <w:r>
        <w:t>RA08 Site adhesives sealants and coatings</w:t>
      </w:r>
    </w:p>
    <w:p>
      <w:r>
        <w:rPr>
          <w:b w:val="0"/>
        </w:rPr>
        <w:t>Applicators, other trades and cleaners: skin/eye injury, sensitisation or inhalation exposure depending on product. Initial 3 × 4 = 12; target residual 1 × 4 = 4. Owner: COSHH assessor and applicator.</w:t>
      </w:r>
    </w:p>
    <w:p>
      <w:r>
        <w:rPr>
          <w:b w:val="0"/>
        </w:rPr>
        <w:t>Only use identified construction products with accepted task assessments. Keep production chemicals out of this site method. Prefer low-exposure application; segregate spray work, provide ventilation and select chemically compatible gloves and eye protection. Particulate masks do not protect against vapours. Keep washing and eyewash available.</w:t>
      </w:r>
    </w:p>
    <w:p>
      <w:r>
        <w:rPr>
          <w:b w:val="0"/>
        </w:rPr>
        <w:t>Verify before task: Confirm actual product, SDS, quantity, method, PPE, ventilation and any curing/re-entry restrictions.</w:t>
      </w:r>
    </w:p>
    <w:p>
      <w:r>
        <w:br w:type="page"/>
      </w:r>
    </w:p>
    <w:p>
      <w:pPr>
        <w:pStyle w:val="Heading1"/>
      </w:pPr>
      <w:r>
        <w:t>Risk assessment 3</w:t>
      </w:r>
    </w:p>
    <w:p>
      <w:r>
        <w:rPr>
          <w:b w:val="0"/>
        </w:rPr>
        <w:t>Ratings below are planning estimates. Residual scores are targets only, conditional on the stated controls and site verification; they are not a release to start work.</w:t>
      </w:r>
    </w:p>
    <w:p>
      <w:pPr>
        <w:pStyle w:val="Heading2"/>
      </w:pPr>
      <w:r>
        <w:t>RA09 Fire and hot work</w:t>
      </w:r>
    </w:p>
    <w:p>
      <w:r>
        <w:rPr>
          <w:b w:val="0"/>
        </w:rPr>
        <w:t>Everyone on or near the works: smoke inhalation or burns, potentially fatal. Initial 3 × 5 = 15; target residual 1 × 5 = 5. Owner: Site supervisor and fire marshal.</w:t>
      </w:r>
    </w:p>
    <w:p>
      <w:r>
        <w:rPr>
          <w:b w:val="0"/>
        </w:rPr>
        <w:t>Keep ignition sources away from panels, dust, packaging and stored products. No hot-wire or flame cutting of PU cores. Protect escape routes; provide suitable fire points and alarm arrangements. Any exceptional hot work needs a separate permit, shielding, fire watch and post-work checks. A board fire classification is not a fire-resistance rating for the panel assembly.</w:t>
      </w:r>
    </w:p>
    <w:p>
      <w:r>
        <w:rPr>
          <w:b w:val="0"/>
        </w:rPr>
        <w:t>Verify before task: Record fire points, muster point, emergency access and applicable hot-work permit.</w:t>
      </w:r>
    </w:p>
    <w:p>
      <w:pPr>
        <w:pStyle w:val="Heading2"/>
      </w:pPr>
      <w:r>
        <w:t>RA10 Housekeeping and falling objects</w:t>
      </w:r>
    </w:p>
    <w:p>
      <w:r>
        <w:rPr>
          <w:b w:val="0"/>
        </w:rPr>
        <w:t>All workers and visitors: trips, slips or injury from unsecured tools/materials. Initial 4 × 3 = 12; target residual 1 × 3 = 3. Owner: All trades and supervisor.</w:t>
      </w:r>
    </w:p>
    <w:p>
      <w:r>
        <w:rPr>
          <w:b w:val="0"/>
        </w:rPr>
        <w:t>Keep routes clear, route hoses and leads safely, remove offcuts and secure stored sheets. Maintain lighting and dry footing. Secure tools/materials at height, provide toe boards and exclude work beneath. Collect dust and waste into closed containers; use an agreed waste route and prevent slurry entering drains.</w:t>
      </w:r>
    </w:p>
    <w:p>
      <w:r>
        <w:rPr>
          <w:b w:val="0"/>
        </w:rPr>
        <w:t>Verify before task: Daily housekeeping and exclusion-zone check; named waste contractor/collection point.</w:t>
      </w:r>
    </w:p>
    <w:p>
      <w:pPr>
        <w:pStyle w:val="Heading2"/>
      </w:pPr>
      <w:r>
        <w:t>RA11 Weather and exposed working areas</w:t>
      </w:r>
    </w:p>
    <w:p>
      <w:r>
        <w:rPr>
          <w:b w:val="0"/>
        </w:rPr>
        <w:t>Erection and roof teams: loss of panel control, falls, heat/cold effects or lightning exposure. Initial 4 × 5 = 20; target residual 1 × 5 = 5. Owner: Lift supervisor and site supervisor.</w:t>
      </w:r>
    </w:p>
    <w:p>
      <w:r>
        <w:rPr>
          <w:b w:val="0"/>
        </w:rPr>
        <w:t>Use the lower applicable limit from the lift plan, access equipment and temporary works design. Monitor gusts and conditions at the workface. Stop lifting/roof work when limits, visibility or footing are unsafe. Secure loose sheets and leave a stable structure at breaks. Reinspect after adverse weather before restarting.</w:t>
      </w:r>
    </w:p>
    <w:p>
      <w:r>
        <w:rPr>
          <w:b w:val="0"/>
        </w:rPr>
        <w:t>Verify before task: Enter actual wind/weather limits and monitoring method; no generic wind limit is assumed.</w:t>
      </w:r>
    </w:p>
    <w:p>
      <w:pPr>
        <w:pStyle w:val="Heading2"/>
      </w:pPr>
      <w:r>
        <w:t>RA12 Floor roof and finishing loads</w:t>
      </w:r>
    </w:p>
    <w:p>
      <w:r>
        <w:rPr>
          <w:b w:val="0"/>
        </w:rPr>
        <w:t>Installers and adjacent trades: local collapse, falling glazing or slips; some events potentially fatal. Initial 3 × 5 = 15; target residual 1 × 5 = 5. Owner: Supervisor and structural designer.</w:t>
      </w:r>
    </w:p>
    <w:p>
      <w:r>
        <w:rPr>
          <w:b w:val="0"/>
        </w:rPr>
        <w:t>Verify bearing, fixing and permitted loading before placing deck bundles, roof panels or finishes. Spread loads only as designed. Install glazing with suitable aids and temporary restraint. Isolate pressurised spray equipment before clearing blockages; never locate leaks with a hand. Keep other trades clear during overhead installation and spray work.</w:t>
      </w:r>
    </w:p>
    <w:p>
      <w:r>
        <w:rPr>
          <w:b w:val="0"/>
        </w:rPr>
        <w:t>Verify before task: Record load limits, bearing/fixing inspections, glazing handling and spray-equipment checks.</w:t>
      </w:r>
    </w:p>
    <w:p>
      <w:r>
        <w:br w:type="page"/>
      </w:r>
    </w:p>
    <w:p>
      <w:pPr>
        <w:pStyle w:val="Heading1"/>
      </w:pPr>
      <w:r>
        <w:t>Construction method 1</w:t>
      </w:r>
    </w:p>
    <w:p>
      <w:r>
        <w:rPr>
          <w:b w:val="0"/>
        </w:rPr>
        <w:t>Stage numbers refer to the matching build video and process manual. Hold points on the next page apply throughout. Do not proceed past an unaccepted design or safety check.</w:t>
      </w:r>
    </w:p>
    <w:p>
      <w:pPr>
        <w:pStyle w:val="Heading2"/>
      </w:pPr>
      <w:r>
        <w:t>01 to 03 Receive finished panels</w:t>
      </w:r>
    </w:p>
    <w:p>
      <w:r>
        <w:rPr>
          <w:b w:val="0"/>
        </w:rPr>
        <w:t>Use the completed pod concept and approved panel/opening schedule to plan the build. Receive factory-formed finished panels and inspect damage, dimensions, identification and lifting data. The illustrated wall has 12 mm Sulfrock faces around 150 mm cured Plixxent PU insulation. Foam production and raw chemical handling are outside this construction method.</w:t>
      </w:r>
    </w:p>
    <w:p>
      <w:pPr>
        <w:pStyle w:val="Heading2"/>
      </w:pPr>
      <w:r>
        <w:t>04 to 05 Base DPC and sole plate</w:t>
      </w:r>
    </w:p>
    <w:p>
      <w:r>
        <w:rPr>
          <w:b w:val="0"/>
        </w:rPr>
        <w:t>Accept the designed base, supports, levels, service entries and anchorage. Fit DPC and sole plate to the issued detail. Confirm drilling clearance and anchor installation. Keep the working area stable and accessible for panel handling and temporary bracing.</w:t>
      </w:r>
    </w:p>
    <w:p>
      <w:pPr>
        <w:pStyle w:val="Heading2"/>
      </w:pPr>
      <w:r>
        <w:t>06 to 07 Erect walls and splines</w:t>
      </w:r>
    </w:p>
    <w:p>
      <w:r>
        <w:rPr>
          <w:b w:val="0"/>
        </w:rPr>
        <w:t>Lift by approved means, slot panels over the sole plate and brace progressively. Panel faces conceal the plate. Install the selected IPS timber spline joint or IPS panel spline joint. The IPS panel spline is 98 mm total across both rebates; the 2 mm gap is at the panel edges. Bond interfaces with the specified Plixxent construction glue (exact grade and SDS to be confirmed).</w:t>
      </w:r>
    </w:p>
    <w:p>
      <w:pPr>
        <w:pStyle w:val="Heading2"/>
      </w:pPr>
      <w:r>
        <w:t>08 Wall fixings</w:t>
      </w:r>
    </w:p>
    <w:p>
      <w:r>
        <w:rPr>
          <w:b w:val="0"/>
        </w:rPr>
        <w:t>Keep panels level and truly upright. Use the project fixing schedule; the recorded pattern is 400 mm each side, staggered to give 200 mm along the joint. Confirm screw specification and edge distances. Do not release lifting equipment until the panel is restrained and stable.</w:t>
      </w:r>
    </w:p>
    <w:p>
      <w:pPr>
        <w:pStyle w:val="Heading2"/>
      </w:pPr>
      <w:r>
        <w:t>09 to 10 Closures and internal walls</w:t>
      </w:r>
    </w:p>
    <w:p>
      <w:r>
        <w:rPr>
          <w:b w:val="0"/>
        </w:rPr>
        <w:t>Fit 35 mm TR26 with the Sulfrock IPS top-hat detail at corners, ends and openings, and bond the interfaces. Fully encapsulate exposed insulation. Install the internal wall arrangement and verify openings and service routes before the roof closes access.</w:t>
      </w:r>
    </w:p>
    <w:p>
      <w:pPr>
        <w:pStyle w:val="Heading2"/>
      </w:pPr>
      <w:r>
        <w:t>11 Wall heads</w:t>
      </w:r>
    </w:p>
    <w:p>
      <w:r>
        <w:rPr>
          <w:b w:val="0"/>
        </w:rPr>
        <w:t>Fit the header within the board faces onto the level rebated insulation and spline ends. Both spline types sit on the sole plate and stop beneath the header. Conceal the timber in the finished assembly. Check the top-hat narrow section enters the rebate and the wider cap covers board edges, subject to the issued detail.</w:t>
      </w:r>
    </w:p>
    <w:p>
      <w:pPr>
        <w:pStyle w:val="Heading2"/>
      </w:pPr>
      <w:r>
        <w:t>12 to 13 Roof preparation and support</w:t>
      </w:r>
    </w:p>
    <w:p>
      <w:r>
        <w:rPr>
          <w:b w:val="0"/>
        </w:rPr>
        <w:t>Use the approved roof cutting, support and joint layout. The video concept shows 600 mm strips cut from 1200 mm panels and a proposed 45 mm rebate; these are not a release to alter structural panels. Confirm spans, end-joint support, bearing, splines, falls and overhangs before cutting or lifting.</w:t>
      </w:r>
    </w:p>
    <w:p>
      <w:r>
        <w:br w:type="page"/>
      </w:r>
    </w:p>
    <w:p>
      <w:pPr>
        <w:pStyle w:val="Heading1"/>
      </w:pPr>
      <w:r>
        <w:t>Construction method 2</w:t>
      </w:r>
    </w:p>
    <w:p>
      <w:r>
        <w:rPr>
          <w:b w:val="0"/>
        </w:rPr>
        <w:t>Stage numbers refer to the matching build video and process manual. Hold points on the next page apply throughout. Do not proceed past an unaccepted design or safety check.</w:t>
      </w:r>
    </w:p>
    <w:p>
      <w:pPr>
        <w:pStyle w:val="Heading2"/>
      </w:pPr>
      <w:r>
        <w:t>14 Install roof panels</w:t>
      </w:r>
    </w:p>
    <w:p>
      <w:r>
        <w:rPr>
          <w:b w:val="0"/>
        </w:rPr>
        <w:t>Lift roof panels in the designed order from guarded access. Fix and restrain each panel before release; maintain temporary stability and protect openings. Never assume the roof is a working platform. Keep insulation and seals continuous and achieve the designed fall to drainage.</w:t>
      </w:r>
    </w:p>
    <w:p>
      <w:pPr>
        <w:pStyle w:val="Heading2"/>
      </w:pPr>
      <w:r>
        <w:t>15 Roof waterproofing</w:t>
      </w:r>
    </w:p>
    <w:p>
      <w:r>
        <w:rPr>
          <w:b w:val="0"/>
        </w:rPr>
        <w:t>Apply the specified Remmers system only after exact products, primers/cleaners, SDS, substrate requirements and applicator method have been accepted. Protect roof edges and outlets; control ignition and exposure as required by the actual system. The recorded roofing test confirmation remains awaited and is not an installation approval.</w:t>
      </w:r>
    </w:p>
    <w:p>
      <w:pPr>
        <w:pStyle w:val="Heading2"/>
      </w:pPr>
      <w:r>
        <w:t>16 to 17 Windows doors and seals</w:t>
      </w:r>
    </w:p>
    <w:p>
      <w:r>
        <w:rPr>
          <w:b w:val="0"/>
        </w:rPr>
        <w:t>Use assessed lifting/handling for UPVC glazed units. Complete top-hat and 35 mm TR26 closures, bearings, sill drainage and restraint. Apply SIGA Fentrim internally and the selected external sealant, including service penetrations, to the approved detail.</w:t>
      </w:r>
    </w:p>
    <w:p>
      <w:pPr>
        <w:pStyle w:val="Heading2"/>
      </w:pPr>
      <w:r>
        <w:t>18 to 20 External finish</w:t>
      </w:r>
    </w:p>
    <w:p>
      <w:r>
        <w:rPr>
          <w:b w:val="0"/>
        </w:rPr>
        <w:t>Apply RNLF8 and fibre scrim to the accepted 2 mm panel joint detail. For the render option, follow the verified AD-AB, mesh, beads, PR-PS-R and RD-PS-S system. Brick slips or battened timber cladding are separate design options; confirm carrier, fixings, ventilation and product set.</w:t>
      </w:r>
    </w:p>
    <w:p>
      <w:pPr>
        <w:pStyle w:val="Heading2"/>
      </w:pPr>
      <w:r>
        <w:t>21 to 23 Services and plasterboard</w:t>
      </w:r>
    </w:p>
    <w:p>
      <w:r>
        <w:rPr>
          <w:b w:val="0"/>
        </w:rPr>
        <w:t>Fit specified battens and service void; the concept includes 45 × 45 mm ceiling battens subject to design. Complete competent first-fix services, tests and penetration seals before lining. Fit plasterboard and use RNLF5/scrim only where the accepted joint detail calls for it.</w:t>
      </w:r>
    </w:p>
    <w:p>
      <w:pPr>
        <w:pStyle w:val="Heading2"/>
      </w:pPr>
      <w:r>
        <w:t>24 to 25 Finishes and fit out</w:t>
      </w:r>
    </w:p>
    <w:p>
      <w:r>
        <w:rPr>
          <w:b w:val="0"/>
        </w:rPr>
        <w:t>Confirm the exact PL-SX grade, IP-ST-P paint and application method. Provide ventilation and controlled spray zones. Fit kitchen, bathroom and other specified fittings without unapproved structural cuts. Manage manual handling, trailing hoses and simultaneous trades.</w:t>
      </w:r>
    </w:p>
    <w:p>
      <w:pPr>
        <w:pStyle w:val="Heading2"/>
      </w:pPr>
      <w:r>
        <w:t>26 Handover</w:t>
      </w:r>
    </w:p>
    <w:p>
      <w:r>
        <w:rPr>
          <w:b w:val="0"/>
        </w:rPr>
        <w:t>Inspect structural connections, weatherproofing, drainage, service tests and finishes. Authorise removal of temporary bracing and access. Record as-built information, unresolved restrictions and user instructions. A completed pod lift or transport operation requires a separate engineered whole-unit lifting and transport plan.</w:t>
      </w:r>
    </w:p>
    <w:p>
      <w:r>
        <w:br w:type="page"/>
      </w:r>
    </w:p>
    <w:p>
      <w:pPr>
        <w:pStyle w:val="Heading1"/>
      </w:pPr>
      <w:r>
        <w:t>Hold points briefing and release</w:t>
      </w:r>
    </w:p>
    <w:tbl>
      <w:tblPr>
        <w:tblStyle w:val="TableGrid"/>
        <w:tblW w:type="auto" w:w="0"/>
        <w:tblLayout w:type="fixed"/>
        <w:tblLook w:firstColumn="1" w:firstRow="1" w:lastColumn="0" w:lastRow="0" w:noHBand="0" w:noVBand="1" w:val="04A0"/>
      </w:tblPr>
      <w:tblGrid>
        <w:gridCol w:w="5018"/>
        <w:gridCol w:w="5018"/>
      </w:tblGrid>
      <w:tr>
        <w:trPr>
          <w:tblHeader/>
          <w:cantSplit/>
        </w:trPr>
        <w:tc>
          <w:tcPr>
            <w:tcW w:type="dxa" w:w="2448"/>
            <w:shd w:fill="E7EFF3"/>
          </w:tcPr>
          <w:p>
            <w:pPr>
              <w:spacing w:after="80" w:before="60"/>
            </w:pPr>
            <w:r>
              <w:rPr>
                <w:b/>
                <w:sz w:val="19"/>
              </w:rPr>
              <w:t>Hold point</w:t>
            </w:r>
          </w:p>
        </w:tc>
        <w:tc>
          <w:tcPr>
            <w:tcW w:type="dxa" w:w="7344"/>
            <w:shd w:fill="E7EFF3"/>
          </w:tcPr>
          <w:p>
            <w:pPr>
              <w:spacing w:after="80" w:before="60"/>
            </w:pPr>
            <w:r>
              <w:rPr>
                <w:b/>
                <w:sz w:val="19"/>
              </w:rPr>
              <w:t>Required record and release</w:t>
            </w:r>
          </w:p>
        </w:tc>
      </w:tr>
      <w:tr>
        <w:trPr>
          <w:cantSplit/>
        </w:trPr>
        <w:tc>
          <w:tcPr>
            <w:tcW w:type="dxa" w:w="2448"/>
          </w:tcPr>
          <w:p>
            <w:pPr>
              <w:spacing w:after="80" w:before="60"/>
            </w:pPr>
            <w:r>
              <w:rPr>
                <w:sz w:val="19"/>
              </w:rPr>
              <w:t>HP1 Before delivery</w:t>
            </w:r>
          </w:p>
        </w:tc>
        <w:tc>
          <w:tcPr>
            <w:tcW w:type="dxa" w:w="7344"/>
          </w:tcPr>
          <w:p>
            <w:pPr>
              <w:spacing w:after="80" w:before="60"/>
            </w:pPr>
            <w:r>
              <w:rPr>
                <w:sz w:val="19"/>
              </w:rPr>
              <w:t>Accepted drawings, site logistics, services and base/platform capacity. Supervisor: __________ Date: ______</w:t>
            </w:r>
          </w:p>
        </w:tc>
      </w:tr>
      <w:tr>
        <w:trPr>
          <w:cantSplit/>
        </w:trPr>
        <w:tc>
          <w:tcPr>
            <w:tcW w:type="dxa" w:w="2448"/>
          </w:tcPr>
          <w:p>
            <w:pPr>
              <w:spacing w:after="80" w:before="60"/>
            </w:pPr>
            <w:r>
              <w:rPr>
                <w:sz w:val="19"/>
              </w:rPr>
              <w:t>HP2 Before panel erection</w:t>
            </w:r>
          </w:p>
        </w:tc>
        <w:tc>
          <w:tcPr>
            <w:tcW w:type="dxa" w:w="7344"/>
          </w:tcPr>
          <w:p>
            <w:pPr>
              <w:spacing w:after="80" w:before="60"/>
            </w:pPr>
            <w:r>
              <w:rPr>
                <w:sz w:val="19"/>
              </w:rPr>
              <w:t>Lift plan, approved attachments, weather limits, access protection and temporary bracing/anchors. Supervisor/TW lead: __________</w:t>
            </w:r>
          </w:p>
        </w:tc>
      </w:tr>
      <w:tr>
        <w:trPr>
          <w:cantSplit/>
        </w:trPr>
        <w:tc>
          <w:tcPr>
            <w:tcW w:type="dxa" w:w="2448"/>
          </w:tcPr>
          <w:p>
            <w:pPr>
              <w:spacing w:after="80" w:before="60"/>
            </w:pPr>
            <w:r>
              <w:rPr>
                <w:sz w:val="19"/>
              </w:rPr>
              <w:t>HP3 Before closing joints</w:t>
            </w:r>
          </w:p>
        </w:tc>
        <w:tc>
          <w:tcPr>
            <w:tcW w:type="dxa" w:w="7344"/>
          </w:tcPr>
          <w:p>
            <w:pPr>
              <w:spacing w:after="80" w:before="60"/>
            </w:pPr>
            <w:r>
              <w:rPr>
                <w:sz w:val="19"/>
              </w:rPr>
              <w:t>Correct spline, 2 mm panel gap, adhesive identity/COSHH and fixing schedule; concealed plate and closure inspection. Inspector: __________</w:t>
            </w:r>
          </w:p>
        </w:tc>
      </w:tr>
      <w:tr>
        <w:trPr>
          <w:cantSplit/>
        </w:trPr>
        <w:tc>
          <w:tcPr>
            <w:tcW w:type="dxa" w:w="2448"/>
          </w:tcPr>
          <w:p>
            <w:pPr>
              <w:spacing w:after="80" w:before="60"/>
            </w:pPr>
            <w:r>
              <w:rPr>
                <w:sz w:val="19"/>
              </w:rPr>
              <w:t>HP4 Before floor or roof loading</w:t>
            </w:r>
          </w:p>
        </w:tc>
        <w:tc>
          <w:tcPr>
            <w:tcW w:type="dxa" w:w="7344"/>
          </w:tcPr>
          <w:p>
            <w:pPr>
              <w:spacing w:after="80" w:before="60"/>
            </w:pPr>
            <w:r>
              <w:rPr>
                <w:sz w:val="19"/>
              </w:rPr>
              <w:t>Bearings, restraint, fixings, deck/roof limits and protected access accepted by responsible designer/supervisor. Record: __________</w:t>
            </w:r>
          </w:p>
        </w:tc>
      </w:tr>
      <w:tr>
        <w:trPr>
          <w:cantSplit/>
        </w:trPr>
        <w:tc>
          <w:tcPr>
            <w:tcW w:type="dxa" w:w="2448"/>
          </w:tcPr>
          <w:p>
            <w:pPr>
              <w:spacing w:after="80" w:before="60"/>
            </w:pPr>
            <w:r>
              <w:rPr>
                <w:sz w:val="19"/>
              </w:rPr>
              <w:t>HP5 Before chemical or dusty task</w:t>
            </w:r>
          </w:p>
        </w:tc>
        <w:tc>
          <w:tcPr>
            <w:tcW w:type="dxa" w:w="7344"/>
          </w:tcPr>
          <w:p>
            <w:pPr>
              <w:spacing w:after="80" w:before="60"/>
            </w:pPr>
            <w:r>
              <w:rPr>
                <w:sz w:val="19"/>
              </w:rPr>
              <w:t>Relevant C01–C16 assessment completed; exact product/SDS, exposure controls and PPE verified. Assessor: __________</w:t>
            </w:r>
          </w:p>
        </w:tc>
      </w:tr>
      <w:tr>
        <w:trPr>
          <w:cantSplit/>
        </w:trPr>
        <w:tc>
          <w:tcPr>
            <w:tcW w:type="dxa" w:w="2448"/>
          </w:tcPr>
          <w:p>
            <w:pPr>
              <w:spacing w:after="80" w:before="60"/>
            </w:pPr>
            <w:r>
              <w:rPr>
                <w:sz w:val="19"/>
              </w:rPr>
              <w:t>HP6 Before handover / brace removal</w:t>
            </w:r>
          </w:p>
        </w:tc>
        <w:tc>
          <w:tcPr>
            <w:tcW w:type="dxa" w:w="7344"/>
          </w:tcPr>
          <w:p>
            <w:pPr>
              <w:spacing w:after="80" w:before="60"/>
            </w:pPr>
            <w:r>
              <w:rPr>
                <w:sz w:val="19"/>
              </w:rPr>
              <w:t>Design release, recorded concealed work, tests, weather seals and outstanding restrictions. Authorised by: __________</w:t>
            </w:r>
          </w:p>
        </w:tc>
      </w:tr>
    </w:tbl>
    <w:p>
      <w:pPr>
        <w:pStyle w:val="Heading2"/>
      </w:pPr>
      <w:r>
        <w:t>Briefing and site acceptance</w:t>
      </w:r>
    </w:p>
    <w:p>
      <w:r>
        <w:rPr>
          <w:b w:val="0"/>
        </w:rPr>
        <w:t>Project-specific additions / excluded activities / attached plans: __________________________________________________________</w:t>
      </w:r>
    </w:p>
    <w:tbl>
      <w:tblPr>
        <w:tblStyle w:val="TableGrid"/>
        <w:tblW w:type="auto" w:w="0"/>
        <w:tblLayout w:type="fixed"/>
        <w:tblLook w:firstColumn="1" w:firstRow="1" w:lastColumn="0" w:lastRow="0" w:noHBand="0" w:noVBand="1" w:val="04A0"/>
      </w:tblPr>
      <w:tblGrid>
        <w:gridCol w:w="3346"/>
        <w:gridCol w:w="3346"/>
        <w:gridCol w:w="3346"/>
      </w:tblGrid>
      <w:tr>
        <w:trPr>
          <w:tblHeader/>
          <w:cantSplit/>
        </w:trPr>
        <w:tc>
          <w:tcPr>
            <w:tcW w:type="dxa" w:w="3888"/>
            <w:shd w:fill="E7EFF3"/>
          </w:tcPr>
          <w:p>
            <w:pPr>
              <w:spacing w:after="80" w:before="60"/>
            </w:pPr>
            <w:r>
              <w:rPr>
                <w:b/>
                <w:sz w:val="19"/>
              </w:rPr>
              <w:t>Name and role</w:t>
            </w:r>
          </w:p>
        </w:tc>
        <w:tc>
          <w:tcPr>
            <w:tcW w:type="dxa" w:w="3168"/>
            <w:shd w:fill="E7EFF3"/>
          </w:tcPr>
          <w:p>
            <w:pPr>
              <w:spacing w:after="80" w:before="60"/>
            </w:pPr>
            <w:r>
              <w:rPr>
                <w:b/>
                <w:sz w:val="19"/>
              </w:rPr>
              <w:t>Briefed revision / date</w:t>
            </w:r>
          </w:p>
        </w:tc>
        <w:tc>
          <w:tcPr>
            <w:tcW w:type="dxa" w:w="2736"/>
            <w:shd w:fill="E7EFF3"/>
          </w:tcPr>
          <w:p>
            <w:pPr>
              <w:spacing w:after="80" w:before="60"/>
            </w:pPr>
            <w:r>
              <w:rPr>
                <w:b/>
                <w:sz w:val="19"/>
              </w:rPr>
              <w:t>Signature</w:t>
            </w:r>
          </w:p>
        </w:tc>
      </w:tr>
      <w:tr>
        <w:trPr>
          <w:cantSplit/>
        </w:trPr>
        <w:tc>
          <w:tcPr>
            <w:tcW w:type="dxa" w:w="3888"/>
          </w:tcPr>
          <w:p>
            <w:pPr>
              <w:spacing w:after="80" w:before="60"/>
            </w:pPr>
            <w:r>
              <w:rPr>
                <w:sz w:val="19"/>
              </w:rPr>
              <w:t>________________</w:t>
            </w:r>
          </w:p>
        </w:tc>
        <w:tc>
          <w:tcPr>
            <w:tcW w:type="dxa" w:w="3168"/>
          </w:tcPr>
          <w:p>
            <w:pPr>
              <w:spacing w:after="80" w:before="60"/>
            </w:pPr>
            <w:r>
              <w:rPr>
                <w:sz w:val="19"/>
              </w:rPr>
              <w:t>________________</w:t>
            </w:r>
          </w:p>
        </w:tc>
        <w:tc>
          <w:tcPr>
            <w:tcW w:type="dxa" w:w="2736"/>
          </w:tcPr>
          <w:p>
            <w:pPr>
              <w:spacing w:after="80" w:before="60"/>
            </w:pPr>
            <w:r>
              <w:rPr>
                <w:sz w:val="19"/>
              </w:rPr>
              <w:t>________________</w:t>
            </w:r>
          </w:p>
        </w:tc>
      </w:tr>
      <w:tr>
        <w:trPr>
          <w:cantSplit/>
        </w:trPr>
        <w:tc>
          <w:tcPr>
            <w:tcW w:type="dxa" w:w="3888"/>
          </w:tcPr>
          <w:p>
            <w:pPr>
              <w:spacing w:after="80" w:before="60"/>
            </w:pPr>
            <w:r>
              <w:rPr>
                <w:sz w:val="19"/>
              </w:rPr>
              <w:t>________________</w:t>
            </w:r>
          </w:p>
        </w:tc>
        <w:tc>
          <w:tcPr>
            <w:tcW w:type="dxa" w:w="3168"/>
          </w:tcPr>
          <w:p>
            <w:pPr>
              <w:spacing w:after="80" w:before="60"/>
            </w:pPr>
            <w:r>
              <w:rPr>
                <w:sz w:val="19"/>
              </w:rPr>
              <w:t>________________</w:t>
            </w:r>
          </w:p>
        </w:tc>
        <w:tc>
          <w:tcPr>
            <w:tcW w:type="dxa" w:w="2736"/>
          </w:tcPr>
          <w:p>
            <w:pPr>
              <w:spacing w:after="80" w:before="60"/>
            </w:pPr>
            <w:r>
              <w:rPr>
                <w:sz w:val="19"/>
              </w:rPr>
              <w:t>________________</w:t>
            </w:r>
          </w:p>
        </w:tc>
      </w:tr>
      <w:tr>
        <w:trPr>
          <w:cantSplit/>
        </w:trPr>
        <w:tc>
          <w:tcPr>
            <w:tcW w:type="dxa" w:w="3888"/>
          </w:tcPr>
          <w:p>
            <w:pPr>
              <w:spacing w:after="80" w:before="60"/>
            </w:pPr>
            <w:r>
              <w:rPr>
                <w:sz w:val="19"/>
              </w:rPr>
              <w:t>________________</w:t>
            </w:r>
          </w:p>
        </w:tc>
        <w:tc>
          <w:tcPr>
            <w:tcW w:type="dxa" w:w="3168"/>
          </w:tcPr>
          <w:p>
            <w:pPr>
              <w:spacing w:after="80" w:before="60"/>
            </w:pPr>
            <w:r>
              <w:rPr>
                <w:sz w:val="19"/>
              </w:rPr>
              <w:t>________________</w:t>
            </w:r>
          </w:p>
        </w:tc>
        <w:tc>
          <w:tcPr>
            <w:tcW w:type="dxa" w:w="2736"/>
          </w:tcPr>
          <w:p>
            <w:pPr>
              <w:spacing w:after="80" w:before="60"/>
            </w:pPr>
            <w:r>
              <w:rPr>
                <w:sz w:val="19"/>
              </w:rPr>
              <w:t>________________</w:t>
            </w:r>
          </w:p>
        </w:tc>
      </w:tr>
      <w:tr>
        <w:trPr>
          <w:cantSplit/>
        </w:trPr>
        <w:tc>
          <w:tcPr>
            <w:tcW w:type="dxa" w:w="3888"/>
          </w:tcPr>
          <w:p>
            <w:pPr>
              <w:spacing w:after="80" w:before="60"/>
            </w:pPr>
            <w:r>
              <w:rPr>
                <w:sz w:val="19"/>
              </w:rPr>
              <w:t>________________</w:t>
            </w:r>
          </w:p>
        </w:tc>
        <w:tc>
          <w:tcPr>
            <w:tcW w:type="dxa" w:w="3168"/>
          </w:tcPr>
          <w:p>
            <w:pPr>
              <w:spacing w:after="80" w:before="60"/>
            </w:pPr>
            <w:r>
              <w:rPr>
                <w:sz w:val="19"/>
              </w:rPr>
              <w:t>________________</w:t>
            </w:r>
          </w:p>
        </w:tc>
        <w:tc>
          <w:tcPr>
            <w:tcW w:type="dxa" w:w="2736"/>
          </w:tcPr>
          <w:p>
            <w:pPr>
              <w:spacing w:after="80" w:before="60"/>
            </w:pPr>
            <w:r>
              <w:rPr>
                <w:sz w:val="19"/>
              </w:rPr>
              <w:t>________________</w:t>
            </w:r>
          </w:p>
        </w:tc>
      </w:tr>
    </w:tbl>
    <w:p>
      <w:r>
        <w:rPr>
          <w:b w:val="0"/>
        </w:rPr>
        <w:t>Assessor: __________________  Reviewer: __________________  Site release/date: __________________</w:t>
        <w:br/>
        <w:t>Next review: __________________  Actual residual ratings accepted: Yes / No</w:t>
      </w:r>
    </w:p>
    <w:p>
      <w:pPr>
        <w:pStyle w:val="Heading2"/>
      </w:pPr>
      <w:r>
        <w:t>Reference basis</w:t>
      </w:r>
    </w:p>
    <w:p>
      <w:r>
        <w:rPr>
          <w:b w:val="0"/>
        </w:rPr>
        <w:t>Process Master Rev 8, 11 October 2026; IPS-COSHH construction register. HSE guidance checked 11 October 2026: construction planning; lifting operations; temporary works; roof work; construction dust. RAMS sit alongside the construction phase plan and do not replace structural design or manufacturer installation instructions.</w:t>
      </w:r>
    </w:p>
    <w:p>
      <w:r>
        <w:rPr>
          <w:b w:val="0"/>
          <w:sz w:val="16"/>
        </w:rPr>
        <w:t>https://www.hse.gov.uk/construction/safetytopics/planning.htm</w:t>
      </w:r>
    </w:p>
    <w:p>
      <w:r>
        <w:rPr>
          <w:b w:val="0"/>
          <w:sz w:val="16"/>
        </w:rPr>
        <w:t>https://www.hse.gov.uk/construction/safetytopics/lifting-operations.htm</w:t>
      </w:r>
    </w:p>
    <w:p>
      <w:r>
        <w:rPr>
          <w:b w:val="0"/>
          <w:sz w:val="16"/>
        </w:rPr>
        <w:t>https://www.hse.gov.uk/construction/safetytopics/temporary-works.htm</w:t>
      </w:r>
    </w:p>
    <w:p>
      <w:r>
        <w:rPr>
          <w:b w:val="0"/>
          <w:sz w:val="16"/>
        </w:rPr>
        <w:t>https://www.hse.gov.uk/construction/safetytopics/roofwork.htm</w:t>
      </w:r>
    </w:p>
    <w:sectPr w:rsidR="00FC693F" w:rsidRPr="0006063C" w:rsidSect="00034616">
      <w:headerReference w:type="default" r:id="rId9"/>
      <w:footerReference w:type="default" r:id="rId10"/>
      <w:pgSz w:w="11909" w:h="16834"/>
      <w:pgMar w:top="2491" w:right="936" w:bottom="1354" w:left="936" w:header="259"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40"/>
      <w:jc w:val="center"/>
      <w:pBdr>
        <w:top w:val="single" w:sz="5" w:color="B7CDD2" w:space="11"/>
      </w:pBdr>
    </w:pPr>
    <w:r>
      <w:rPr>
        <w:rFonts w:ascii="Arial" w:hAnsi="Arial" w:eastAsia="Arial" w:cs="Arial"/>
        <w:color w:val="54656F"/>
        <w:sz w:val="16"/>
      </w:rPr>
      <w:t>6 Mallow Croft, Rochdale, OL16 4RS</w:t>
    </w:r>
  </w:p>
  <w:p>
    <w:pPr>
      <w:spacing w:after="40"/>
      <w:jc w:val="center"/>
    </w:pPr>
    <w:r>
      <w:rPr>
        <w:rFonts w:ascii="Arial" w:hAnsi="Arial" w:eastAsia="Arial" w:cs="Arial"/>
        <w:color w:val="54656F"/>
        <w:sz w:val="16"/>
      </w:rPr>
      <w:t>07786 388201   |   re@intelligentpanelsystems.com   |   Company no. 15815255</w:t>
    </w:r>
  </w:p>
  <w:p>
    <w:pPr>
      <w:spacing w:after="40"/>
      <w:jc w:val="center"/>
    </w:pPr>
    <w:r>
      <w:rPr>
        <w:rFonts w:ascii="Arial" w:hAnsi="Arial" w:eastAsia="Arial" w:cs="Arial"/>
        <w:color w:val="54656F"/>
        <w:sz w:val="16"/>
      </w:rPr>
      <w:t>www.intelligentpanelsystems.com</w:t>
    </w:r>
  </w:p>
  <w:p>
    <w:pPr>
      <w:jc w:val="center"/>
    </w:pPr>
    <w:r>
      <w:rPr>
        <w:sz w:val="16"/>
      </w:rPr>
      <w:t xml:space="preserve">IPS-RAMS-02 | Rev 1 | 11 October 2026 | Site review required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before="0"/>
      <w:jc w:val="center"/>
    </w:pPr>
    <w:r>
      <w:rPr>
        <w:rFonts w:ascii="Arial" w:hAnsi="Arial" w:eastAsia="Arial" w:cs="Arial"/>
      </w:rPr>
      <w:drawing>
        <wp:inline xmlns:a="http://schemas.openxmlformats.org/drawingml/2006/main" xmlns:pic="http://schemas.openxmlformats.org/drawingml/2006/picture">
          <wp:extent cx="3383279" cy="1222911"/>
          <wp:docPr id="1" name="Picture 1"/>
          <wp:cNvGraphicFramePr>
            <a:graphicFrameLocks noChangeAspect="1"/>
          </wp:cNvGraphicFramePr>
          <a:graphic>
            <a:graphicData uri="http://schemas.openxmlformats.org/drawingml/2006/picture">
              <pic:pic>
                <pic:nvPicPr>
                  <pic:cNvPr id="0" name="exec-e68e9a7d-e25d-4976-979c-0528beecb11d.png"/>
                  <pic:cNvPicPr/>
                </pic:nvPicPr>
                <pic:blipFill>
                  <a:blip r:embed="rId2"/>
                  <a:stretch>
                    <a:fillRect/>
                  </a:stretch>
                </pic:blipFill>
                <pic:spPr>
                  <a:xfrm>
                    <a:off x="0" y="0"/>
                    <a:ext cx="3383279" cy="1222911"/>
                  </a:xfrm>
                  <a:prstGeom prst="rect"/>
                </pic:spPr>
              </pic:pic>
            </a:graphicData>
          </a:graphic>
        </wp:inline>
      </w:drawing>
    </w:r>
  </w:p>
  <w:p>
    <w:pP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Calibri" w:hAnsi="Calibri" w:eastAsia="Arial" w:cs="Arial"/>
      <w:color w:val="172B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Calibri" w:hAnsi="Calibri" w:eastAsia="Arial" w:cs="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Calibri" w:hAnsi="Calibri" w:eastAsia="Arial" w:cs="Arial"/>
      <w:b/>
      <w:bCs/>
      <w:color w:val="103B4C"/>
      <w:sz w:val="24"/>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Calibri" w:hAnsi="Calibri" w:eastAsia="Arial" w:cs="Arial"/>
      <w:b/>
      <w:bCs/>
      <w:color w:val="103B4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Calibri" w:hAnsi="Calibri" w:eastAsia="Arial" w:cs="Arial"/>
      <w:color w:val="000000"/>
      <w:spacing w:val="5"/>
      <w:kern w:val="28"/>
      <w:sz w:val="44"/>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eastAsia="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Intelligent Panel Systems Ltd Letterhead</dc:title>
  <dc:subject>Construction RAMS and COSHH master for site-specific completion</dc:subject>
  <dc:creator>Intelligent Panel Systems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