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Construction COSHH assessments</w:t>
      </w:r>
    </w:p>
    <w:p>
      <w:r>
        <w:rPr>
          <w:b/>
        </w:rPr>
        <w:t>IPS house and HomePod | Revision 1 | 11 October 2026</w:t>
      </w:r>
    </w:p>
    <w:p>
      <w:r>
        <w:rPr>
          <w:b w:val="0"/>
        </w:rPr>
        <w:t>Construction master for site-specific completion. Covers finished panels, process-generated dust and products applied during assembly and finishing. Raw PU production, injection and factory chemical cleaning are excluded.</w:t>
      </w:r>
    </w:p>
    <w:p>
      <w:r>
        <w:rPr>
          <w:b/>
        </w:rPr>
        <w:t>The cured Plixxent core is assessed as part of the finished panel. Plixxent construction glue and uncured Rawlplug gun foam are separate site-use products with separate exposure assessments.</w:t>
      </w:r>
    </w:p>
    <w:tbl>
      <w:tblPr>
        <w:tblStyle w:val="TableGrid"/>
        <w:tblW w:type="auto" w:w="0"/>
        <w:tblLayout w:type="fixed"/>
        <w:tblLook w:firstColumn="1" w:firstRow="1" w:lastColumn="0" w:lastRow="0" w:noHBand="0" w:noVBand="1" w:val="04A0"/>
      </w:tblPr>
      <w:tblGrid>
        <w:gridCol w:w="5018"/>
        <w:gridCol w:w="5018"/>
      </w:tblGrid>
      <w:tr>
        <w:trPr>
          <w:tblHeader/>
          <w:cantSplit/>
        </w:trPr>
        <w:tc>
          <w:tcPr>
            <w:tcW w:type="dxa" w:w="3240"/>
            <w:shd w:fill="E7EFF3"/>
          </w:tcPr>
          <w:p>
            <w:pPr>
              <w:spacing w:after="80" w:before="60"/>
            </w:pPr>
            <w:r>
              <w:rPr>
                <w:b/>
                <w:sz w:val="19"/>
              </w:rPr>
              <w:t>Required detail</w:t>
            </w:r>
          </w:p>
        </w:tc>
        <w:tc>
          <w:tcPr>
            <w:tcW w:type="dxa" w:w="6552"/>
            <w:shd w:fill="E7EFF3"/>
          </w:tcPr>
          <w:p>
            <w:pPr>
              <w:spacing w:after="80" w:before="60"/>
            </w:pPr>
            <w:r>
              <w:rPr>
                <w:b/>
                <w:sz w:val="19"/>
              </w:rPr>
              <w:t>Site record</w:t>
            </w:r>
          </w:p>
        </w:tc>
      </w:tr>
      <w:tr>
        <w:trPr>
          <w:cantSplit/>
        </w:trPr>
        <w:tc>
          <w:tcPr>
            <w:tcW w:type="dxa" w:w="3240"/>
          </w:tcPr>
          <w:p>
            <w:pPr>
              <w:spacing w:after="80" w:before="60"/>
            </w:pPr>
            <w:r>
              <w:rPr>
                <w:sz w:val="19"/>
              </w:rPr>
              <w:t>Project / work location</w:t>
            </w:r>
          </w:p>
        </w:tc>
        <w:tc>
          <w:tcPr>
            <w:tcW w:type="dxa" w:w="6552"/>
          </w:tcPr>
          <w:p>
            <w:pPr>
              <w:spacing w:after="80" w:before="60"/>
            </w:pPr>
            <w:r>
              <w:rPr>
                <w:sz w:val="19"/>
              </w:rPr>
              <w:t>________________________________________</w:t>
            </w:r>
          </w:p>
        </w:tc>
      </w:tr>
      <w:tr>
        <w:trPr>
          <w:cantSplit/>
        </w:trPr>
        <w:tc>
          <w:tcPr>
            <w:tcW w:type="dxa" w:w="3240"/>
          </w:tcPr>
          <w:p>
            <w:pPr>
              <w:spacing w:after="80" w:before="60"/>
            </w:pPr>
            <w:r>
              <w:rPr>
                <w:sz w:val="19"/>
              </w:rPr>
              <w:t>Assessor / competent reviewer</w:t>
            </w:r>
          </w:p>
        </w:tc>
        <w:tc>
          <w:tcPr>
            <w:tcW w:type="dxa" w:w="6552"/>
          </w:tcPr>
          <w:p>
            <w:pPr>
              <w:spacing w:after="80" w:before="60"/>
            </w:pPr>
            <w:r>
              <w:rPr>
                <w:sz w:val="19"/>
              </w:rPr>
              <w:t>________________________________________</w:t>
            </w:r>
          </w:p>
        </w:tc>
      </w:tr>
      <w:tr>
        <w:trPr>
          <w:cantSplit/>
        </w:trPr>
        <w:tc>
          <w:tcPr>
            <w:tcW w:type="dxa" w:w="3240"/>
          </w:tcPr>
          <w:p>
            <w:pPr>
              <w:spacing w:after="80" w:before="60"/>
            </w:pPr>
            <w:r>
              <w:rPr>
                <w:sz w:val="19"/>
              </w:rPr>
              <w:t>Supervisor / applicators</w:t>
            </w:r>
          </w:p>
        </w:tc>
        <w:tc>
          <w:tcPr>
            <w:tcW w:type="dxa" w:w="6552"/>
          </w:tcPr>
          <w:p>
            <w:pPr>
              <w:spacing w:after="80" w:before="60"/>
            </w:pPr>
            <w:r>
              <w:rPr>
                <w:sz w:val="19"/>
              </w:rPr>
              <w:t>________________________________________</w:t>
            </w:r>
          </w:p>
        </w:tc>
      </w:tr>
      <w:tr>
        <w:trPr>
          <w:cantSplit/>
        </w:trPr>
        <w:tc>
          <w:tcPr>
            <w:tcW w:type="dxa" w:w="3240"/>
          </w:tcPr>
          <w:p>
            <w:pPr>
              <w:spacing w:after="80" w:before="60"/>
            </w:pPr>
            <w:r>
              <w:rPr>
                <w:sz w:val="19"/>
              </w:rPr>
              <w:t>Assessment / review date</w:t>
            </w:r>
          </w:p>
        </w:tc>
        <w:tc>
          <w:tcPr>
            <w:tcW w:type="dxa" w:w="6552"/>
          </w:tcPr>
          <w:p>
            <w:pPr>
              <w:spacing w:after="80" w:before="60"/>
            </w:pPr>
            <w:r>
              <w:rPr>
                <w:sz w:val="19"/>
              </w:rPr>
              <w:t>________________________________________</w:t>
            </w:r>
          </w:p>
        </w:tc>
      </w:tr>
      <w:tr>
        <w:trPr>
          <w:cantSplit/>
        </w:trPr>
        <w:tc>
          <w:tcPr>
            <w:tcW w:type="dxa" w:w="3240"/>
          </w:tcPr>
          <w:p>
            <w:pPr>
              <w:spacing w:after="80" w:before="60"/>
            </w:pPr>
            <w:r>
              <w:rPr>
                <w:sz w:val="19"/>
              </w:rPr>
              <w:t>Emergency contact / eyewash location</w:t>
            </w:r>
          </w:p>
        </w:tc>
        <w:tc>
          <w:tcPr>
            <w:tcW w:type="dxa" w:w="6552"/>
          </w:tcPr>
          <w:p>
            <w:pPr>
              <w:spacing w:after="80" w:before="60"/>
            </w:pPr>
            <w:r>
              <w:rPr>
                <w:sz w:val="19"/>
              </w:rPr>
              <w:t>________________________________________</w:t>
            </w:r>
          </w:p>
        </w:tc>
      </w:tr>
    </w:tbl>
    <w:p>
      <w:pPr>
        <w:pStyle w:val="Heading2"/>
      </w:pPr>
      <w:r>
        <w:t>Release status</w:t>
      </w:r>
    </w:p>
    <w:p>
      <w:r>
        <w:rPr>
          <w:b w:val="0"/>
        </w:rPr>
        <w:t>No task is released solely by this master. Complete the exposure record and acceptance for each applicable assessment. Where a matching SDS or product identity is missing, hold that product’s use until resolved. Mark unused alternatives not applicable. Reassess after product, method, location or health changes.</w:t>
      </w:r>
    </w:p>
    <w:p>
      <w:r>
        <w:rPr>
          <w:b w:val="0"/>
        </w:rPr>
        <w:t>Fixings North West quote Q299705(1), dated 9 October 2026, identifies PROA024 Protecta ASF Contract Mastic 600ml foil and RAWR-RPP-B1 Rawl B1 Fire Resistant Gun Foam. Neither is assumed to replace specified structural glue or establish an assembly fire rating.</w:t>
      </w:r>
    </w:p>
    <w:p>
      <w:r>
        <w:br w:type="page"/>
      </w:r>
    </w:p>
    <w:p>
      <w:pPr>
        <w:pStyle w:val="Heading1"/>
      </w:pPr>
      <w:r>
        <w:t>Task exposure and release record</w:t>
      </w:r>
    </w:p>
    <w:p>
      <w:r>
        <w:rPr>
          <w:b w:val="0"/>
        </w:rPr>
        <w:t>Copy this page for each C01–C16 used on the project. Record actual exposure; quantities in a supplier quotation are not daily-use estimates.</w:t>
      </w:r>
    </w:p>
    <w:tbl>
      <w:tblPr>
        <w:tblStyle w:val="TableGrid"/>
        <w:tblW w:type="auto" w:w="0"/>
        <w:tblLayout w:type="fixed"/>
        <w:tblLook w:firstColumn="1" w:firstRow="1" w:lastColumn="0" w:lastRow="0" w:noHBand="0" w:noVBand="1" w:val="04A0"/>
      </w:tblPr>
      <w:tblGrid>
        <w:gridCol w:w="5018"/>
        <w:gridCol w:w="5018"/>
      </w:tblGrid>
      <w:tr>
        <w:trPr>
          <w:tblHeader/>
          <w:cantSplit/>
        </w:trPr>
        <w:tc>
          <w:tcPr>
            <w:tcW w:type="dxa" w:w="3240"/>
            <w:shd w:fill="E7EFF3"/>
          </w:tcPr>
          <w:p>
            <w:pPr>
              <w:spacing w:after="80" w:before="60"/>
            </w:pPr>
            <w:r>
              <w:rPr>
                <w:b/>
                <w:sz w:val="19"/>
              </w:rPr>
              <w:t>Required detail</w:t>
            </w:r>
          </w:p>
        </w:tc>
        <w:tc>
          <w:tcPr>
            <w:tcW w:type="dxa" w:w="6552"/>
            <w:shd w:fill="E7EFF3"/>
          </w:tcPr>
          <w:p>
            <w:pPr>
              <w:spacing w:after="80" w:before="60"/>
            </w:pPr>
            <w:r>
              <w:rPr>
                <w:b/>
                <w:sz w:val="19"/>
              </w:rPr>
              <w:t>Site record</w:t>
            </w:r>
          </w:p>
        </w:tc>
      </w:tr>
      <w:tr>
        <w:trPr>
          <w:cantSplit/>
        </w:trPr>
        <w:tc>
          <w:tcPr>
            <w:tcW w:type="dxa" w:w="3240"/>
          </w:tcPr>
          <w:p>
            <w:pPr>
              <w:spacing w:after="80" w:before="60"/>
            </w:pPr>
            <w:r>
              <w:rPr>
                <w:sz w:val="19"/>
              </w:rPr>
              <w:t>Assessment ID / exact product / batch</w:t>
            </w:r>
          </w:p>
        </w:tc>
        <w:tc>
          <w:tcPr>
            <w:tcW w:type="dxa" w:w="6552"/>
          </w:tcPr>
          <w:p>
            <w:pPr>
              <w:spacing w:after="80" w:before="60"/>
            </w:pPr>
            <w:r>
              <w:rPr>
                <w:sz w:val="19"/>
              </w:rPr>
              <w:t>________________________________________</w:t>
            </w:r>
          </w:p>
        </w:tc>
      </w:tr>
      <w:tr>
        <w:trPr>
          <w:cantSplit/>
        </w:trPr>
        <w:tc>
          <w:tcPr>
            <w:tcW w:type="dxa" w:w="3240"/>
          </w:tcPr>
          <w:p>
            <w:pPr>
              <w:spacing w:after="80" w:before="60"/>
            </w:pPr>
            <w:r>
              <w:rPr>
                <w:sz w:val="19"/>
              </w:rPr>
              <w:t>SDS title / revision / location</w:t>
            </w:r>
          </w:p>
        </w:tc>
        <w:tc>
          <w:tcPr>
            <w:tcW w:type="dxa" w:w="6552"/>
          </w:tcPr>
          <w:p>
            <w:pPr>
              <w:spacing w:after="80" w:before="60"/>
            </w:pPr>
            <w:r>
              <w:rPr>
                <w:sz w:val="19"/>
              </w:rPr>
              <w:t>________________________________________</w:t>
            </w:r>
          </w:p>
        </w:tc>
      </w:tr>
      <w:tr>
        <w:trPr>
          <w:cantSplit/>
        </w:trPr>
        <w:tc>
          <w:tcPr>
            <w:tcW w:type="dxa" w:w="3240"/>
          </w:tcPr>
          <w:p>
            <w:pPr>
              <w:spacing w:after="80" w:before="60"/>
            </w:pPr>
            <w:r>
              <w:rPr>
                <w:sz w:val="19"/>
              </w:rPr>
              <w:t>Task / application method / substrate</w:t>
            </w:r>
          </w:p>
        </w:tc>
        <w:tc>
          <w:tcPr>
            <w:tcW w:type="dxa" w:w="6552"/>
          </w:tcPr>
          <w:p>
            <w:pPr>
              <w:spacing w:after="80" w:before="60"/>
            </w:pPr>
            <w:r>
              <w:rPr>
                <w:sz w:val="19"/>
              </w:rPr>
              <w:t>________________________________________</w:t>
            </w:r>
          </w:p>
        </w:tc>
      </w:tr>
      <w:tr>
        <w:trPr>
          <w:cantSplit/>
        </w:trPr>
        <w:tc>
          <w:tcPr>
            <w:tcW w:type="dxa" w:w="3240"/>
          </w:tcPr>
          <w:p>
            <w:pPr>
              <w:spacing w:after="80" w:before="60"/>
            </w:pPr>
            <w:r>
              <w:rPr>
                <w:sz w:val="19"/>
              </w:rPr>
              <w:t>Quantity per shift / duration / frequency</w:t>
            </w:r>
          </w:p>
        </w:tc>
        <w:tc>
          <w:tcPr>
            <w:tcW w:type="dxa" w:w="6552"/>
          </w:tcPr>
          <w:p>
            <w:pPr>
              <w:spacing w:after="80" w:before="60"/>
            </w:pPr>
            <w:r>
              <w:rPr>
                <w:sz w:val="19"/>
              </w:rPr>
              <w:t>________________________________________</w:t>
            </w:r>
          </w:p>
        </w:tc>
      </w:tr>
      <w:tr>
        <w:trPr>
          <w:cantSplit/>
        </w:trPr>
        <w:tc>
          <w:tcPr>
            <w:tcW w:type="dxa" w:w="3240"/>
          </w:tcPr>
          <w:p>
            <w:pPr>
              <w:spacing w:after="80" w:before="60"/>
            </w:pPr>
            <w:r>
              <w:rPr>
                <w:sz w:val="19"/>
              </w:rPr>
              <w:t>Indoor/outdoor / room size / ventilation</w:t>
            </w:r>
          </w:p>
        </w:tc>
        <w:tc>
          <w:tcPr>
            <w:tcW w:type="dxa" w:w="6552"/>
          </w:tcPr>
          <w:p>
            <w:pPr>
              <w:spacing w:after="80" w:before="60"/>
            </w:pPr>
            <w:r>
              <w:rPr>
                <w:sz w:val="19"/>
              </w:rPr>
              <w:t>________________________________________</w:t>
            </w:r>
          </w:p>
        </w:tc>
      </w:tr>
      <w:tr>
        <w:trPr>
          <w:cantSplit/>
        </w:trPr>
        <w:tc>
          <w:tcPr>
            <w:tcW w:type="dxa" w:w="3240"/>
          </w:tcPr>
          <w:p>
            <w:pPr>
              <w:spacing w:after="80" w:before="60"/>
            </w:pPr>
            <w:r>
              <w:rPr>
                <w:sz w:val="19"/>
              </w:rPr>
              <w:t>People exposed / nearby trades</w:t>
            </w:r>
          </w:p>
        </w:tc>
        <w:tc>
          <w:tcPr>
            <w:tcW w:type="dxa" w:w="6552"/>
          </w:tcPr>
          <w:p>
            <w:pPr>
              <w:spacing w:after="80" w:before="60"/>
            </w:pPr>
            <w:r>
              <w:rPr>
                <w:sz w:val="19"/>
              </w:rPr>
              <w:t>________________________________________</w:t>
            </w:r>
          </w:p>
        </w:tc>
      </w:tr>
      <w:tr>
        <w:trPr>
          <w:cantSplit/>
        </w:trPr>
        <w:tc>
          <w:tcPr>
            <w:tcW w:type="dxa" w:w="3240"/>
          </w:tcPr>
          <w:p>
            <w:pPr>
              <w:spacing w:after="80" w:before="60"/>
            </w:pPr>
            <w:r>
              <w:rPr>
                <w:sz w:val="19"/>
              </w:rPr>
              <w:t>Elimination / substitution considered</w:t>
            </w:r>
          </w:p>
        </w:tc>
        <w:tc>
          <w:tcPr>
            <w:tcW w:type="dxa" w:w="6552"/>
          </w:tcPr>
          <w:p>
            <w:pPr>
              <w:spacing w:after="80" w:before="60"/>
            </w:pPr>
            <w:r>
              <w:rPr>
                <w:sz w:val="19"/>
              </w:rPr>
              <w:t>________________________________________</w:t>
            </w:r>
          </w:p>
        </w:tc>
      </w:tr>
      <w:tr>
        <w:trPr>
          <w:cantSplit/>
        </w:trPr>
        <w:tc>
          <w:tcPr>
            <w:tcW w:type="dxa" w:w="3240"/>
          </w:tcPr>
          <w:p>
            <w:pPr>
              <w:spacing w:after="80" w:before="60"/>
            </w:pPr>
            <w:r>
              <w:rPr>
                <w:sz w:val="19"/>
              </w:rPr>
              <w:t>Extraction type / inspection / airflow</w:t>
            </w:r>
          </w:p>
        </w:tc>
        <w:tc>
          <w:tcPr>
            <w:tcW w:type="dxa" w:w="6552"/>
          </w:tcPr>
          <w:p>
            <w:pPr>
              <w:spacing w:after="80" w:before="60"/>
            </w:pPr>
            <w:r>
              <w:rPr>
                <w:sz w:val="19"/>
              </w:rPr>
              <w:t>________________________________________</w:t>
            </w:r>
          </w:p>
        </w:tc>
      </w:tr>
      <w:tr>
        <w:trPr>
          <w:cantSplit/>
        </w:trPr>
        <w:tc>
          <w:tcPr>
            <w:tcW w:type="dxa" w:w="3240"/>
          </w:tcPr>
          <w:p>
            <w:pPr>
              <w:spacing w:after="80" w:before="60"/>
            </w:pPr>
            <w:r>
              <w:rPr>
                <w:sz w:val="19"/>
              </w:rPr>
              <w:t>Glove type / thickness / change interval</w:t>
            </w:r>
          </w:p>
        </w:tc>
        <w:tc>
          <w:tcPr>
            <w:tcW w:type="dxa" w:w="6552"/>
          </w:tcPr>
          <w:p>
            <w:pPr>
              <w:spacing w:after="80" w:before="60"/>
            </w:pPr>
            <w:r>
              <w:rPr>
                <w:sz w:val="19"/>
              </w:rPr>
              <w:t>________________________________________</w:t>
            </w:r>
          </w:p>
        </w:tc>
      </w:tr>
      <w:tr>
        <w:trPr>
          <w:cantSplit/>
        </w:trPr>
        <w:tc>
          <w:tcPr>
            <w:tcW w:type="dxa" w:w="3240"/>
          </w:tcPr>
          <w:p>
            <w:pPr>
              <w:spacing w:after="80" w:before="60"/>
            </w:pPr>
            <w:r>
              <w:rPr>
                <w:sz w:val="19"/>
              </w:rPr>
              <w:t>Eye protection / clothing</w:t>
            </w:r>
          </w:p>
        </w:tc>
        <w:tc>
          <w:tcPr>
            <w:tcW w:type="dxa" w:w="6552"/>
          </w:tcPr>
          <w:p>
            <w:pPr>
              <w:spacing w:after="80" w:before="60"/>
            </w:pPr>
            <w:r>
              <w:rPr>
                <w:sz w:val="19"/>
              </w:rPr>
              <w:t>________________________________________</w:t>
            </w:r>
          </w:p>
        </w:tc>
      </w:tr>
      <w:tr>
        <w:trPr>
          <w:cantSplit/>
        </w:trPr>
        <w:tc>
          <w:tcPr>
            <w:tcW w:type="dxa" w:w="3240"/>
          </w:tcPr>
          <w:p>
            <w:pPr>
              <w:spacing w:after="80" w:before="60"/>
            </w:pPr>
            <w:r>
              <w:rPr>
                <w:sz w:val="19"/>
              </w:rPr>
              <w:t>RPE type / filter / APF / face fit</w:t>
            </w:r>
          </w:p>
        </w:tc>
        <w:tc>
          <w:tcPr>
            <w:tcW w:type="dxa" w:w="6552"/>
          </w:tcPr>
          <w:p>
            <w:pPr>
              <w:spacing w:after="80" w:before="60"/>
            </w:pPr>
            <w:r>
              <w:rPr>
                <w:sz w:val="19"/>
              </w:rPr>
              <w:t>________________________________________</w:t>
            </w:r>
          </w:p>
        </w:tc>
      </w:tr>
      <w:tr>
        <w:trPr>
          <w:cantSplit/>
        </w:trPr>
        <w:tc>
          <w:tcPr>
            <w:tcW w:type="dxa" w:w="3240"/>
          </w:tcPr>
          <w:p>
            <w:pPr>
              <w:spacing w:after="80" w:before="60"/>
            </w:pPr>
            <w:r>
              <w:rPr>
                <w:sz w:val="19"/>
              </w:rPr>
              <w:t>Exposure limits / monitoring required</w:t>
            </w:r>
          </w:p>
        </w:tc>
        <w:tc>
          <w:tcPr>
            <w:tcW w:type="dxa" w:w="6552"/>
          </w:tcPr>
          <w:p>
            <w:pPr>
              <w:spacing w:after="80" w:before="60"/>
            </w:pPr>
            <w:r>
              <w:rPr>
                <w:sz w:val="19"/>
              </w:rPr>
              <w:t>________________________________________</w:t>
            </w:r>
          </w:p>
        </w:tc>
      </w:tr>
      <w:tr>
        <w:trPr>
          <w:cantSplit/>
        </w:trPr>
        <w:tc>
          <w:tcPr>
            <w:tcW w:type="dxa" w:w="3240"/>
          </w:tcPr>
          <w:p>
            <w:pPr>
              <w:spacing w:after="80" w:before="60"/>
            </w:pPr>
            <w:r>
              <w:rPr>
                <w:sz w:val="19"/>
              </w:rPr>
              <w:t>Health surveillance decision / owner</w:t>
            </w:r>
          </w:p>
        </w:tc>
        <w:tc>
          <w:tcPr>
            <w:tcW w:type="dxa" w:w="6552"/>
          </w:tcPr>
          <w:p>
            <w:pPr>
              <w:spacing w:after="80" w:before="60"/>
            </w:pPr>
            <w:r>
              <w:rPr>
                <w:sz w:val="19"/>
              </w:rPr>
              <w:t>________________________________________</w:t>
            </w:r>
          </w:p>
        </w:tc>
      </w:tr>
      <w:tr>
        <w:trPr>
          <w:cantSplit/>
        </w:trPr>
        <w:tc>
          <w:tcPr>
            <w:tcW w:type="dxa" w:w="3240"/>
          </w:tcPr>
          <w:p>
            <w:pPr>
              <w:spacing w:after="80" w:before="60"/>
            </w:pPr>
            <w:r>
              <w:rPr>
                <w:sz w:val="19"/>
              </w:rPr>
              <w:t>Storage / spill kit / waste route</w:t>
            </w:r>
          </w:p>
        </w:tc>
        <w:tc>
          <w:tcPr>
            <w:tcW w:type="dxa" w:w="6552"/>
          </w:tcPr>
          <w:p>
            <w:pPr>
              <w:spacing w:after="80" w:before="60"/>
            </w:pPr>
            <w:r>
              <w:rPr>
                <w:sz w:val="19"/>
              </w:rPr>
              <w:t>________________________________________</w:t>
            </w:r>
          </w:p>
        </w:tc>
      </w:tr>
      <w:tr>
        <w:trPr>
          <w:cantSplit/>
        </w:trPr>
        <w:tc>
          <w:tcPr>
            <w:tcW w:type="dxa" w:w="3240"/>
          </w:tcPr>
          <w:p>
            <w:pPr>
              <w:spacing w:after="80" w:before="60"/>
            </w:pPr>
            <w:r>
              <w:rPr>
                <w:sz w:val="19"/>
              </w:rPr>
              <w:t>Initial risk / residual risk / reasons</w:t>
            </w:r>
          </w:p>
        </w:tc>
        <w:tc>
          <w:tcPr>
            <w:tcW w:type="dxa" w:w="6552"/>
          </w:tcPr>
          <w:p>
            <w:pPr>
              <w:spacing w:after="80" w:before="60"/>
            </w:pPr>
            <w:r>
              <w:rPr>
                <w:sz w:val="19"/>
              </w:rPr>
              <w:t>________________________________________</w:t>
            </w:r>
          </w:p>
        </w:tc>
      </w:tr>
      <w:tr>
        <w:trPr>
          <w:cantSplit/>
        </w:trPr>
        <w:tc>
          <w:tcPr>
            <w:tcW w:type="dxa" w:w="3240"/>
          </w:tcPr>
          <w:p>
            <w:pPr>
              <w:spacing w:after="80" w:before="60"/>
            </w:pPr>
            <w:r>
              <w:rPr>
                <w:sz w:val="19"/>
              </w:rPr>
              <w:t>Reviewer / signature / release date</w:t>
            </w:r>
          </w:p>
        </w:tc>
        <w:tc>
          <w:tcPr>
            <w:tcW w:type="dxa" w:w="6552"/>
          </w:tcPr>
          <w:p>
            <w:pPr>
              <w:spacing w:after="80" w:before="60"/>
            </w:pPr>
            <w:r>
              <w:rPr>
                <w:sz w:val="19"/>
              </w:rPr>
              <w:t>________________________________________</w:t>
            </w:r>
          </w:p>
        </w:tc>
      </w:tr>
    </w:tbl>
    <w:p>
      <w:r>
        <w:br w:type="page"/>
      </w:r>
    </w:p>
    <w:p>
      <w:pPr>
        <w:pStyle w:val="Heading1"/>
      </w:pPr>
      <w:r>
        <w:t>Common controls and emergency response</w:t>
      </w:r>
    </w:p>
    <w:p>
      <w:pPr>
        <w:pStyle w:val="Heading2"/>
      </w:pPr>
      <w:r>
        <w:t>Prevent exposure at source</w:t>
      </w:r>
    </w:p>
    <w:p>
      <w:r>
        <w:rPr>
          <w:b w:val="0"/>
        </w:rPr>
        <w:t>Use pre-cut components and controlled application where practicable. Separate dusty cutting and spray work from other trades. Use suitable extraction at source, maintain equipment and check capture before work. Avoid dry sweeping and compressed-air cleanup. Select any vacuum and waste method for the material; do not assume a domestic vacuum is adequate.</w:t>
      </w:r>
    </w:p>
    <w:p>
      <w:pPr>
        <w:pStyle w:val="Heading2"/>
      </w:pPr>
      <w:r>
        <w:t>PPE and competence</w:t>
      </w:r>
    </w:p>
    <w:p>
      <w:r>
        <w:rPr>
          <w:b w:val="0"/>
        </w:rPr>
        <w:t>Confirm chemical glove material, thickness and breakthrough time with the product and glove suppliers. Select goggles where dust or splashes can reach eyes. A particulate mask does not control vapours. A competent assessor must select RPE for the actual exposure, establish filter-change rules and arrange fit testing for tight-fitting equipment. Check training and suitable arrangements for workers with relevant sensitisation or symptoms.</w:t>
      </w:r>
    </w:p>
    <w:p>
      <w:pPr>
        <w:pStyle w:val="Heading2"/>
      </w:pPr>
      <w:r>
        <w:t>First aid and incidents</w:t>
      </w:r>
    </w:p>
    <w:p>
      <w:r>
        <w:rPr>
          <w:b w:val="0"/>
        </w:rPr>
        <w:t>Stop exposure. Call 999 for serious breathing difficulty, collapse or severe injury. Move to fresh air only where safe. For eye contamination begin immediate clean-water irrigation, remove contact lenses if easy and follow the product SDS; seek urgent medical help for cement/alkaline exposure or persistent symptoms. Remove contaminated clothing and wash skin; do not clean skin with solvents. If swallowed, seek medical advice with the label/SDS and do not induce vomiting. Keep the actual SDS accessible to responders.</w:t>
      </w:r>
    </w:p>
    <w:p>
      <w:pPr>
        <w:pStyle w:val="Heading2"/>
      </w:pPr>
      <w:r>
        <w:t>Spills fire and waste</w:t>
      </w:r>
    </w:p>
    <w:p>
      <w:r>
        <w:rPr>
          <w:b w:val="0"/>
        </w:rPr>
        <w:t>Isolate the area, keep unprotected people out and use the product-specific spill method. Do not improvise water cleanup for reactive products. Prevent release to drains. Evacuate for a significant leak, uncontrolled vapour or fire; only trained people tackle a small fire where escape remains safe. Segregate uncured chemicals, contaminated absorbents, aerosols and cured solid waste for an authorised disposal route.</w:t>
      </w:r>
    </w:p>
    <w:p>
      <w:pPr>
        <w:pStyle w:val="Heading2"/>
      </w:pPr>
      <w:r>
        <w:t>Supervision and review</w:t>
      </w:r>
    </w:p>
    <w:p>
      <w:r>
        <w:rPr>
          <w:b w:val="0"/>
        </w:rPr>
        <w:t>The supervisor checks controls each shift and stops work for failed extraction, poor ventilation, leaks, uncontrolled spray, eye/skin contamination or symptoms. The assessor decides whether exposure measurement and health surveillance are needed for dust, isocyanates or dermatitis risks. Record corrective action and review before restarting. SDS information supports but does not replace assessment of the task.</w:t>
      </w:r>
    </w:p>
    <w:p>
      <w:r>
        <w:br w:type="page"/>
      </w:r>
    </w:p>
    <w:p>
      <w:pPr>
        <w:pStyle w:val="Heading1"/>
      </w:pPr>
      <w:r>
        <w:t>C01 | Finished IPS panels and cured Plixxent core</w:t>
      </w:r>
    </w:p>
    <w:p>
      <w:pPr>
        <w:pStyle w:val="Heading2"/>
      </w:pPr>
      <w:r>
        <w:t>Identity and evidence</w:t>
      </w:r>
    </w:p>
    <w:p>
      <w:r>
        <w:rPr>
          <w:b w:val="0"/>
        </w:rPr>
        <w:t>Supplier finished-panel safety information required. Existing Sulfrock/Sulfycor draft COSHH, 29 September 2026, is supporting information, not a manufacturer SDS.</w:t>
      </w:r>
    </w:p>
    <w:p>
      <w:pPr>
        <w:pStyle w:val="Heading2"/>
      </w:pPr>
      <w:r>
        <w:t>Task people and exposure</w:t>
      </w:r>
    </w:p>
    <w:p>
      <w:r>
        <w:rPr>
          <w:b w:val="0"/>
        </w:rPr>
        <w:t>Handling, cold cutting and drilling; inhalation of mixed board/core dust, eye and skin contact. Cured core is not assessed as liquid production MDI. Board silica content is not verified. Applicators, assistants, cleaners and nearby trades may be exposed; complete the task record for actual duration and quantities.</w:t>
      </w:r>
    </w:p>
    <w:p>
      <w:pPr>
        <w:pStyle w:val="Heading2"/>
      </w:pPr>
      <w:r>
        <w:t>Required controls</w:t>
      </w:r>
    </w:p>
    <w:p>
      <w:r>
        <w:rPr>
          <w:b w:val="0"/>
        </w:rPr>
        <w:t>Prefer factory cuts. Support panels and use compatible on-tool extraction with segregated cutting. No flame or hot-wire cutting. Capture dust during vacuum cleanup. Select dust RPE after exposure assessment; establish board composition before repeated cutting.</w:t>
      </w:r>
    </w:p>
    <w:p>
      <w:pPr>
        <w:pStyle w:val="Heading2"/>
      </w:pPr>
      <w:r>
        <w:t>Release conditions</w:t>
      </w:r>
    </w:p>
    <w:p>
      <w:r>
        <w:rPr>
          <w:b w:val="0"/>
        </w:rPr>
        <w:t>Confirm panel/board identity, dust constituents, extraction and residual exposure. Record any cutting restrictions and occupational-health advice.</w:t>
      </w:r>
    </w:p>
    <w:p>
      <w:pPr>
        <w:pStyle w:val="Heading2"/>
      </w:pPr>
      <w:r>
        <w:t>Local acceptance</w:t>
      </w:r>
    </w:p>
    <w:p>
      <w:r>
        <w:rPr>
          <w:b w:val="0"/>
        </w:rPr>
        <w:t>Apply the common controls and emergency arrangements. Keep the matching SDS available; its first-aid, storage and spill instructions must be briefed before release. Record quantities, exposure, PPE selection, risk judgment, reviewer and signature on the task record. Stop on loss of controls or symptoms.</w:t>
      </w:r>
    </w:p>
    <w:p>
      <w:r>
        <w:rPr>
          <w:b/>
        </w:rPr>
        <w:t>Status: □ Hold pending evidence  □ Site controls accepted  □ Not used</w:t>
        <w:br/>
        <w:t>Task record reference: __________________  Supervisor: __________________</w:t>
        <w:br/>
        <w:t>Reviewer / date: ________________________</w:t>
      </w:r>
    </w:p>
    <w:p>
      <w:r>
        <w:br w:type="page"/>
      </w:r>
    </w:p>
    <w:p>
      <w:pPr>
        <w:pStyle w:val="Heading1"/>
      </w:pPr>
      <w:r>
        <w:t>C02 | Timber and chipboard dust</w:t>
      </w:r>
    </w:p>
    <w:p>
      <w:pPr>
        <w:pStyle w:val="Heading2"/>
      </w:pPr>
      <w:r>
        <w:t>Identity and evidence</w:t>
      </w:r>
    </w:p>
    <w:p>
      <w:r>
        <w:rPr>
          <w:b w:val="0"/>
        </w:rPr>
        <w:t>Task-generated dust; board/timber supplier information and current exposure assessment required.</w:t>
      </w:r>
    </w:p>
    <w:p>
      <w:pPr>
        <w:pStyle w:val="Heading2"/>
      </w:pPr>
      <w:r>
        <w:t>Task people and exposure</w:t>
      </w:r>
    </w:p>
    <w:p>
      <w:r>
        <w:rPr>
          <w:b w:val="0"/>
        </w:rPr>
        <w:t>Sawing, routing and drilling plates, battens or decking; inhalation, eye contact and dermatitis. Applicators, assistants, cleaners and nearby trades may be exposed; complete the task record for actual duration and quantities.</w:t>
      </w:r>
    </w:p>
    <w:p>
      <w:pPr>
        <w:pStyle w:val="Heading2"/>
      </w:pPr>
      <w:r>
        <w:t>Required controls</w:t>
      </w:r>
    </w:p>
    <w:p>
      <w:r>
        <w:rPr>
          <w:b w:val="0"/>
        </w:rPr>
        <w:t>Order cut lengths. Use guarded tools with extraction and a designated cutting area. Vacuum cleanup. Select suitable eye protection and residual-dust RPE. Check engineered-board composition and coating information.</w:t>
      </w:r>
    </w:p>
    <w:p>
      <w:pPr>
        <w:pStyle w:val="Heading2"/>
      </w:pPr>
      <w:r>
        <w:t>Release conditions</w:t>
      </w:r>
    </w:p>
    <w:p>
      <w:r>
        <w:rPr>
          <w:b w:val="0"/>
        </w:rPr>
        <w:t>Record timber species/board grade, extraction, frequency, monitoring and health-surveillance decision.</w:t>
      </w:r>
    </w:p>
    <w:p>
      <w:pPr>
        <w:pStyle w:val="Heading2"/>
      </w:pPr>
      <w:r>
        <w:t>Local acceptance</w:t>
      </w:r>
    </w:p>
    <w:p>
      <w:r>
        <w:rPr>
          <w:b w:val="0"/>
        </w:rPr>
        <w:t>Apply the common controls and emergency arrangements. Keep the matching SDS available; its first-aid, storage and spill instructions must be briefed before release. Record quantities, exposure, PPE selection, risk judgment, reviewer and signature on the task record. Stop on loss of controls or symptoms.</w:t>
      </w:r>
    </w:p>
    <w:p>
      <w:r>
        <w:rPr>
          <w:b/>
        </w:rPr>
        <w:t>Status: □ Hold pending evidence  □ Site controls accepted  □ Not used</w:t>
        <w:br/>
        <w:t>Task record reference: __________________  Supervisor: __________________</w:t>
        <w:br/>
        <w:t>Reviewer / date: ________________________</w:t>
      </w:r>
    </w:p>
    <w:p>
      <w:r>
        <w:br w:type="page"/>
      </w:r>
    </w:p>
    <w:p>
      <w:pPr>
        <w:pStyle w:val="Heading1"/>
      </w:pPr>
      <w:r>
        <w:t>C03 | Plasterboard brick slips and masonry dust</w:t>
      </w:r>
    </w:p>
    <w:p>
      <w:pPr>
        <w:pStyle w:val="Heading2"/>
      </w:pPr>
      <w:r>
        <w:t>Identity and evidence</w:t>
      </w:r>
    </w:p>
    <w:p>
      <w:r>
        <w:rPr>
          <w:b w:val="0"/>
        </w:rPr>
        <w:t>Material-specific supplier information required; do not assume all dust has the same composition.</w:t>
      </w:r>
    </w:p>
    <w:p>
      <w:pPr>
        <w:pStyle w:val="Heading2"/>
      </w:pPr>
      <w:r>
        <w:t>Task people and exposure</w:t>
      </w:r>
    </w:p>
    <w:p>
      <w:r>
        <w:rPr>
          <w:b w:val="0"/>
        </w:rPr>
        <w:t>Cutting, drilling and sanding; respirable dust and possible crystalline silica from masonry products. Applicators, assistants, cleaners and nearby trades may be exposed; complete the task record for actual duration and quantities.</w:t>
      </w:r>
    </w:p>
    <w:p>
      <w:pPr>
        <w:pStyle w:val="Heading2"/>
      </w:pPr>
      <w:r>
        <w:t>Required controls</w:t>
      </w:r>
    </w:p>
    <w:p>
      <w:r>
        <w:rPr>
          <w:b w:val="0"/>
        </w:rPr>
        <w:t>Prefer pre-cut pieces and score-and-snap where suitable. Use compatible extraction or engineered wet cutting with slurry containment. Separate masonry cutting; no uncontrolled dry grinding. Select RPE for actual residual exposure.</w:t>
      </w:r>
    </w:p>
    <w:p>
      <w:pPr>
        <w:pStyle w:val="Heading2"/>
      </w:pPr>
      <w:r>
        <w:t>Release conditions</w:t>
      </w:r>
    </w:p>
    <w:p>
      <w:r>
        <w:rPr>
          <w:b w:val="0"/>
        </w:rPr>
        <w:t>Verify constituents, silica exposure controls, tool method, cleanup and respiratory surveillance decision.</w:t>
      </w:r>
    </w:p>
    <w:p>
      <w:pPr>
        <w:pStyle w:val="Heading2"/>
      </w:pPr>
      <w:r>
        <w:t>Local acceptance</w:t>
      </w:r>
    </w:p>
    <w:p>
      <w:r>
        <w:rPr>
          <w:b w:val="0"/>
        </w:rPr>
        <w:t>Apply the common controls and emergency arrangements. Keep the matching SDS available; its first-aid, storage and spill instructions must be briefed before release. Record quantities, exposure, PPE selection, risk judgment, reviewer and signature on the task record. Stop on loss of controls or symptoms.</w:t>
      </w:r>
    </w:p>
    <w:p>
      <w:r>
        <w:rPr>
          <w:b/>
        </w:rPr>
        <w:t>Status: □ Hold pending evidence  □ Site controls accepted  □ Not used</w:t>
        <w:br/>
        <w:t>Task record reference: __________________  Supervisor: __________________</w:t>
        <w:br/>
        <w:t>Reviewer / date: ________________________</w:t>
      </w:r>
    </w:p>
    <w:p>
      <w:r>
        <w:br w:type="page"/>
      </w:r>
    </w:p>
    <w:p>
      <w:pPr>
        <w:pStyle w:val="Heading1"/>
      </w:pPr>
      <w:r>
        <w:t>C04 | Plixxent construction glue</w:t>
      </w:r>
    </w:p>
    <w:p>
      <w:pPr>
        <w:pStyle w:val="Heading2"/>
      </w:pPr>
      <w:r>
        <w:t>Identity and evidence</w:t>
      </w:r>
    </w:p>
    <w:p>
      <w:r>
        <w:rPr>
          <w:b w:val="0"/>
        </w:rPr>
        <w:t>HOLD: exact adhesive trade name/grade and current GB SDS not identified. Raw Plixxonat foam-production SDS is not a substitute.</w:t>
      </w:r>
    </w:p>
    <w:p>
      <w:pPr>
        <w:pStyle w:val="Heading2"/>
      </w:pPr>
      <w:r>
        <w:t>Task people and exposure</w:t>
      </w:r>
    </w:p>
    <w:p>
      <w:r>
        <w:rPr>
          <w:b w:val="0"/>
        </w:rPr>
        <w:t>Bonding panel/spline or closure interfaces; potential skin, eye and inhalation exposure depends on the exact adhesive formulation. No hazard classification assigned without matching evidence. Applicators, assistants, cleaners and nearby trades may be exposed; complete the task record for actual duration and quantities.</w:t>
      </w:r>
    </w:p>
    <w:p>
      <w:pPr>
        <w:pStyle w:val="Heading2"/>
      </w:pPr>
      <w:r>
        <w:t>Required controls</w:t>
      </w:r>
    </w:p>
    <w:p>
      <w:r>
        <w:rPr>
          <w:b w:val="0"/>
        </w:rPr>
        <w:t>Before use, approve substrate compatibility, application and cure conditions with the IPS detail. Assess uncured application, cleanup and curing separately. Define ventilation, compatible gloves, eye protection and any RPE from the matching SDS. Do not spray or use an unassessed solvent cleaner.</w:t>
      </w:r>
    </w:p>
    <w:p>
      <w:pPr>
        <w:pStyle w:val="Heading2"/>
      </w:pPr>
      <w:r>
        <w:t>Release conditions</w:t>
      </w:r>
    </w:p>
    <w:p>
      <w:r>
        <w:rPr>
          <w:b w:val="0"/>
        </w:rPr>
        <w:t>Obtain labelled product identity, SDS and application instructions. Determine isocyanate/solvent content, training needs, exposure controls, emergency actions, storage and waste route before release.</w:t>
      </w:r>
    </w:p>
    <w:p>
      <w:pPr>
        <w:pStyle w:val="Heading2"/>
      </w:pPr>
      <w:r>
        <w:t>Local acceptance</w:t>
      </w:r>
    </w:p>
    <w:p>
      <w:r>
        <w:rPr>
          <w:b w:val="0"/>
        </w:rPr>
        <w:t>Apply the common controls and emergency arrangements. Keep the matching SDS available; its first-aid, storage and spill instructions must be briefed before release. Record quantities, exposure, PPE selection, risk judgment, reviewer and signature on the task record. Stop on loss of controls or symptoms.</w:t>
      </w:r>
    </w:p>
    <w:p>
      <w:r>
        <w:rPr>
          <w:b/>
        </w:rPr>
        <w:t>Status: □ Hold pending evidence  □ Site controls accepted  □ Not used</w:t>
        <w:br/>
        <w:t>Task record reference: __________________  Supervisor: __________________</w:t>
        <w:br/>
        <w:t>Reviewer / date: ________________________</w:t>
      </w:r>
    </w:p>
    <w:p>
      <w:r>
        <w:br w:type="page"/>
      </w:r>
    </w:p>
    <w:p>
      <w:pPr>
        <w:pStyle w:val="Heading1"/>
      </w:pPr>
      <w:r>
        <w:t>C05 | Protecta ASF Contract Mastic 600ml foil</w:t>
      </w:r>
    </w:p>
    <w:p>
      <w:pPr>
        <w:pStyle w:val="Heading2"/>
      </w:pPr>
      <w:r>
        <w:t>Identity and evidence</w:t>
      </w:r>
    </w:p>
    <w:p>
      <w:r>
        <w:rPr>
          <w:b w:val="0"/>
        </w:rPr>
        <w:t>FNW PROA024, quote Q299705(1). HOLD: matching current manufacturer SDS and exact grade confirmation required; no substitute FR product assumed.</w:t>
      </w:r>
    </w:p>
    <w:p>
      <w:pPr>
        <w:pStyle w:val="Heading2"/>
      </w:pPr>
      <w:r>
        <w:t>Task people and exposure</w:t>
      </w:r>
    </w:p>
    <w:p>
      <w:r>
        <w:rPr>
          <w:b w:val="0"/>
        </w:rPr>
        <w:t>Gun application and tooling at approved seals; possible skin/eye contact and vapour exposure pending composition confirmation. Applicators, assistants, cleaners and nearby trades may be exposed; complete the task record for actual duration and quantities.</w:t>
      </w:r>
    </w:p>
    <w:p>
      <w:pPr>
        <w:pStyle w:val="Heading2"/>
      </w:pPr>
      <w:r>
        <w:t>Required controls</w:t>
      </w:r>
    </w:p>
    <w:p>
      <w:r>
        <w:rPr>
          <w:b w:val="0"/>
        </w:rPr>
        <w:t>Use only at approved detail locations. Controlled bead application; prevent hand tooling on bare skin. Assess ventilation, compatible gloves and splash protection from the matching SDS. Collect foil and uncured waste. Do not claim a fire-resistance rating from the product name.</w:t>
      </w:r>
    </w:p>
    <w:p>
      <w:pPr>
        <w:pStyle w:val="Heading2"/>
      </w:pPr>
      <w:r>
        <w:t>Release conditions</w:t>
      </w:r>
    </w:p>
    <w:p>
      <w:r>
        <w:rPr>
          <w:b w:val="0"/>
        </w:rPr>
        <w:t>Supplier to match PROA024 to product label/SDS and system detail. Confirm whether this replaces or supplements any previously selected external sealant.</w:t>
      </w:r>
    </w:p>
    <w:p>
      <w:pPr>
        <w:pStyle w:val="Heading2"/>
      </w:pPr>
      <w:r>
        <w:t>Local acceptance</w:t>
      </w:r>
    </w:p>
    <w:p>
      <w:r>
        <w:rPr>
          <w:b w:val="0"/>
        </w:rPr>
        <w:t>Apply the common controls and emergency arrangements. Keep the matching SDS available; its first-aid, storage and spill instructions must be briefed before release. Record quantities, exposure, PPE selection, risk judgment, reviewer and signature on the task record. Stop on loss of controls or symptoms.</w:t>
      </w:r>
    </w:p>
    <w:p>
      <w:r>
        <w:rPr>
          <w:b/>
        </w:rPr>
        <w:t>Status: □ Hold pending evidence  □ Site controls accepted  □ Not used</w:t>
        <w:br/>
        <w:t>Task record reference: __________________  Supervisor: __________________</w:t>
        <w:br/>
        <w:t>Reviewer / date: ________________________</w:t>
      </w:r>
    </w:p>
    <w:p>
      <w:r>
        <w:br w:type="page"/>
      </w:r>
    </w:p>
    <w:p>
      <w:pPr>
        <w:pStyle w:val="Heading1"/>
      </w:pPr>
      <w:r>
        <w:t>C06 | Rawlplug R-RPP-B1 gun foam</w:t>
      </w:r>
    </w:p>
    <w:p>
      <w:pPr>
        <w:pStyle w:val="Heading2"/>
      </w:pPr>
      <w:r>
        <w:t>Identity and evidence</w:t>
      </w:r>
    </w:p>
    <w:p>
      <w:r>
        <w:rPr>
          <w:b w:val="0"/>
        </w:rPr>
        <w:t>FNW RAWR-RPP-B1. Manufacturer SDS v2.3, 29 July 2024; confirm supplied can matches this version/product, not WET variant.</w:t>
      </w:r>
    </w:p>
    <w:p>
      <w:pPr>
        <w:pStyle w:val="Heading2"/>
      </w:pPr>
      <w:r>
        <w:t>Task people and exposure</w:t>
      </w:r>
    </w:p>
    <w:p>
      <w:r>
        <w:rPr>
          <w:b w:val="0"/>
        </w:rPr>
        <w:t>H222/H229 flammable pressurised aerosol; H302 harmful swallowed; H315/H319 skin/eye irritation; H317/H334 sensitisation; H335 respiratory irritation; H351 suspected cancer; H373 repeated inhalation harm. Contains isocyanates. Applicators, assistants, cleaners and nearby trades may be exposed; complete the task record for actual duration and quantities.</w:t>
      </w:r>
    </w:p>
    <w:p>
      <w:pPr>
        <w:pStyle w:val="Heading2"/>
      </w:pPr>
      <w:r>
        <w:t>Required controls</w:t>
      </w:r>
    </w:p>
    <w:p>
      <w:r>
        <w:rPr>
          <w:b w:val="0"/>
        </w:rPr>
        <w:t>Use controlled gun application in an assessed ventilated area, excluding others and ignition sources. Wear compatible chemical gloves, goggles and workwear. Assess respiratory protection and training before use; dust masks alone are unsuitable. Keep cans below 50°C, out of sunlight; do not pierce/burn. Stop for respiratory symptoms.</w:t>
      </w:r>
    </w:p>
    <w:p>
      <w:pPr>
        <w:pStyle w:val="Heading2"/>
      </w:pPr>
      <w:r>
        <w:t>Release conditions</w:t>
      </w:r>
    </w:p>
    <w:p>
      <w:r>
        <w:rPr>
          <w:b w:val="0"/>
        </w:rPr>
        <w:t>Confirm ventilation, occupational-health arrangements and approved seal location. Eye exposure: irrigate at least 10 minutes and obtain medical care. Match cleaner to a separate assessment. Trim only fully cured foam with dust controls; B1 wording is not an assembly fire approval.</w:t>
      </w:r>
    </w:p>
    <w:p>
      <w:pPr>
        <w:pStyle w:val="Heading2"/>
      </w:pPr>
      <w:r>
        <w:t>Local acceptance</w:t>
      </w:r>
    </w:p>
    <w:p>
      <w:r>
        <w:rPr>
          <w:b w:val="0"/>
        </w:rPr>
        <w:t>Apply the common controls and emergency arrangements. Keep the matching SDS available; its first-aid, storage and spill instructions must be briefed before release. Record quantities, exposure, PPE selection, risk judgment, reviewer and signature on the task record. Stop on loss of controls or symptoms.</w:t>
      </w:r>
    </w:p>
    <w:p>
      <w:r>
        <w:rPr>
          <w:b/>
        </w:rPr>
        <w:t>Status: □ Hold pending evidence  □ Site controls accepted  □ Not used</w:t>
        <w:br/>
        <w:t>Task record reference: __________________  Supervisor: __________________</w:t>
        <w:br/>
        <w:t>Reviewer / date: ________________________</w:t>
      </w:r>
    </w:p>
    <w:p>
      <w:r>
        <w:br w:type="page"/>
      </w:r>
    </w:p>
    <w:p>
      <w:pPr>
        <w:pStyle w:val="Heading1"/>
      </w:pPr>
      <w:r>
        <w:t>C07 | Terrix RN-LF 5 joint filler</w:t>
      </w:r>
    </w:p>
    <w:p>
      <w:pPr>
        <w:pStyle w:val="Heading2"/>
      </w:pPr>
      <w:r>
        <w:t>Identity and evidence</w:t>
      </w:r>
    </w:p>
    <w:p>
      <w:r>
        <w:rPr>
          <w:b w:val="0"/>
        </w:rPr>
        <w:t>SDS v3.2, May 2025. HOLD for supplier clarification: H351 appears in label section 2.2 but is absent from classification section 2.1.</w:t>
      </w:r>
    </w:p>
    <w:p>
      <w:pPr>
        <w:pStyle w:val="Heading2"/>
      </w:pPr>
      <w:r>
        <w:t>Task people and exposure</w:t>
      </w:r>
    </w:p>
    <w:p>
      <w:r>
        <w:rPr>
          <w:b w:val="0"/>
        </w:rPr>
        <w:t>Powder mixing, application and cured sanding. Sheet identifies H315 skin irritation, H318 serious eye damage and H335 respiratory irritation. Applicators, assistants, cleaners and nearby trades may be exposed; complete the task record for actual duration and quantities.</w:t>
      </w:r>
    </w:p>
    <w:p>
      <w:pPr>
        <w:pStyle w:val="Heading2"/>
      </w:pPr>
      <w:r>
        <w:t>Required controls</w:t>
      </w:r>
    </w:p>
    <w:p>
      <w:r>
        <w:rPr>
          <w:b w:val="0"/>
        </w:rPr>
        <w:t>Control powder tipping and mixing dust; use low-dust handling and suitable extraction. Prevent wet alkaline material contacting skin; use supplier-compatible gloves, covered skin and goggles. Avoid kneeling in wet product. Control cured sanding dust.</w:t>
      </w:r>
    </w:p>
    <w:p>
      <w:pPr>
        <w:pStyle w:val="Heading2"/>
      </w:pPr>
      <w:r>
        <w:t>Release conditions</w:t>
      </w:r>
    </w:p>
    <w:p>
      <w:r>
        <w:rPr>
          <w:b w:val="0"/>
        </w:rPr>
        <w:t>Resolve SDS inconsistency and confirm exact grade, shelf life, mixing method and RPE. Eye splashes require immediate irrigation and urgent medical assessment.</w:t>
      </w:r>
    </w:p>
    <w:p>
      <w:pPr>
        <w:pStyle w:val="Heading2"/>
      </w:pPr>
      <w:r>
        <w:t>Local acceptance</w:t>
      </w:r>
    </w:p>
    <w:p>
      <w:r>
        <w:rPr>
          <w:b w:val="0"/>
        </w:rPr>
        <w:t>Apply the common controls and emergency arrangements. Keep the matching SDS available; its first-aid, storage and spill instructions must be briefed before release. Record quantities, exposure, PPE selection, risk judgment, reviewer and signature on the task record. Stop on loss of controls or symptoms.</w:t>
      </w:r>
    </w:p>
    <w:p>
      <w:r>
        <w:rPr>
          <w:b/>
        </w:rPr>
        <w:t>Status: □ Hold pending evidence  □ Site controls accepted  □ Not used</w:t>
        <w:br/>
        <w:t>Task record reference: __________________  Supervisor: __________________</w:t>
        <w:br/>
        <w:t>Reviewer / date: ________________________</w:t>
      </w:r>
    </w:p>
    <w:p>
      <w:r>
        <w:br w:type="page"/>
      </w:r>
    </w:p>
    <w:p>
      <w:pPr>
        <w:pStyle w:val="Heading1"/>
      </w:pPr>
      <w:r>
        <w:t>C08 | Terrix RNLF8 panel joint treatment</w:t>
      </w:r>
    </w:p>
    <w:p>
      <w:pPr>
        <w:pStyle w:val="Heading2"/>
      </w:pPr>
      <w:r>
        <w:t>Identity and evidence</w:t>
      </w:r>
    </w:p>
    <w:p>
      <w:r>
        <w:rPr>
          <w:b w:val="0"/>
        </w:rPr>
        <w:t>HOLD: matching current SDS required. A technical data sheet is not a COSHH assessment.</w:t>
      </w:r>
    </w:p>
    <w:p>
      <w:pPr>
        <w:pStyle w:val="Heading2"/>
      </w:pPr>
      <w:r>
        <w:t>Task people and exposure</w:t>
      </w:r>
    </w:p>
    <w:p>
      <w:r>
        <w:rPr>
          <w:b w:val="0"/>
        </w:rPr>
        <w:t>Mixing/application at the 2 mm panel joint with specified scrim; dust, splash and skin exposure depend on supplied formulation. Applicators, assistants, cleaners and nearby trades may be exposed; complete the task record for actual duration and quantities.</w:t>
      </w:r>
    </w:p>
    <w:p>
      <w:pPr>
        <w:pStyle w:val="Heading2"/>
      </w:pPr>
      <w:r>
        <w:t>Required controls</w:t>
      </w:r>
    </w:p>
    <w:p>
      <w:r>
        <w:rPr>
          <w:b w:val="0"/>
        </w:rPr>
        <w:t>Follow approved joint system. Control powder if supplied dry, prevent wet skin contact and isolate sanding. Confirm ventilation, glove resistance, eye protection and residual-dust RPE from product evidence.</w:t>
      </w:r>
    </w:p>
    <w:p>
      <w:pPr>
        <w:pStyle w:val="Heading2"/>
      </w:pPr>
      <w:r>
        <w:t>Release conditions</w:t>
      </w:r>
    </w:p>
    <w:p>
      <w:r>
        <w:rPr>
          <w:b w:val="0"/>
        </w:rPr>
        <w:t>Obtain exact grade/SDS, mixing and cure details. Do not transfer RN-LF5 classification automatically.</w:t>
      </w:r>
    </w:p>
    <w:p>
      <w:pPr>
        <w:pStyle w:val="Heading2"/>
      </w:pPr>
      <w:r>
        <w:t>Local acceptance</w:t>
      </w:r>
    </w:p>
    <w:p>
      <w:r>
        <w:rPr>
          <w:b w:val="0"/>
        </w:rPr>
        <w:t>Apply the common controls and emergency arrangements. Keep the matching SDS available; its first-aid, storage and spill instructions must be briefed before release. Record quantities, exposure, PPE selection, risk judgment, reviewer and signature on the task record. Stop on loss of controls or symptoms.</w:t>
      </w:r>
    </w:p>
    <w:p>
      <w:r>
        <w:rPr>
          <w:b/>
        </w:rPr>
        <w:t>Status: □ Hold pending evidence  □ Site controls accepted  □ Not used</w:t>
        <w:br/>
        <w:t>Task record reference: __________________  Supervisor: __________________</w:t>
        <w:br/>
        <w:t>Reviewer / date: ________________________</w:t>
      </w:r>
    </w:p>
    <w:p>
      <w:r>
        <w:br w:type="page"/>
      </w:r>
    </w:p>
    <w:p>
      <w:pPr>
        <w:pStyle w:val="Heading1"/>
      </w:pPr>
      <w:r>
        <w:t>C09 | Terrix AD-AB basecoat / adhesive</w:t>
      </w:r>
    </w:p>
    <w:p>
      <w:pPr>
        <w:pStyle w:val="Heading2"/>
      </w:pPr>
      <w:r>
        <w:t>Identity and evidence</w:t>
      </w:r>
    </w:p>
    <w:p>
      <w:r>
        <w:rPr>
          <w:b w:val="0"/>
        </w:rPr>
        <w:t>HOLD: matching current SDS required. AD-BR SDS does not identify AD-AB.</w:t>
      </w:r>
    </w:p>
    <w:p>
      <w:pPr>
        <w:pStyle w:val="Heading2"/>
      </w:pPr>
      <w:r>
        <w:t>Task people and exposure</w:t>
      </w:r>
    </w:p>
    <w:p>
      <w:r>
        <w:rPr>
          <w:b w:val="0"/>
        </w:rPr>
        <w:t>Mixing, mesh embedment and basecoat application; dust or wet contact according to actual form. Applicators, assistants, cleaners and nearby trades may be exposed; complete the task record for actual duration and quantities.</w:t>
      </w:r>
    </w:p>
    <w:p>
      <w:pPr>
        <w:pStyle w:val="Heading2"/>
      </w:pPr>
      <w:r>
        <w:t>Required controls</w:t>
      </w:r>
    </w:p>
    <w:p>
      <w:r>
        <w:rPr>
          <w:b w:val="0"/>
        </w:rPr>
        <w:t>Minimise dusty mixing and splashes; use a stable mixing station and suitable extraction. Prevent skin contact and contain washout. Assess sanding/grinding separately.</w:t>
      </w:r>
    </w:p>
    <w:p>
      <w:pPr>
        <w:pStyle w:val="Heading2"/>
      </w:pPr>
      <w:r>
        <w:t>Release conditions</w:t>
      </w:r>
    </w:p>
    <w:p>
      <w:r>
        <w:rPr>
          <w:b w:val="0"/>
        </w:rPr>
        <w:t>Confirm full Terrix system, actual AD-AB formulation, SDS, PPE and emergency controls.</w:t>
      </w:r>
    </w:p>
    <w:p>
      <w:pPr>
        <w:pStyle w:val="Heading2"/>
      </w:pPr>
      <w:r>
        <w:t>Local acceptance</w:t>
      </w:r>
    </w:p>
    <w:p>
      <w:r>
        <w:rPr>
          <w:b w:val="0"/>
        </w:rPr>
        <w:t>Apply the common controls and emergency arrangements. Keep the matching SDS available; its first-aid, storage and spill instructions must be briefed before release. Record quantities, exposure, PPE selection, risk judgment, reviewer and signature on the task record. Stop on loss of controls or symptoms.</w:t>
      </w:r>
    </w:p>
    <w:p>
      <w:r>
        <w:rPr>
          <w:b/>
        </w:rPr>
        <w:t>Status: □ Hold pending evidence  □ Site controls accepted  □ Not used</w:t>
        <w:br/>
        <w:t>Task record reference: __________________  Supervisor: __________________</w:t>
        <w:br/>
        <w:t>Reviewer / date: ________________________</w:t>
      </w:r>
    </w:p>
    <w:p>
      <w:r>
        <w:br w:type="page"/>
      </w:r>
    </w:p>
    <w:p>
      <w:pPr>
        <w:pStyle w:val="Heading1"/>
      </w:pPr>
      <w:r>
        <w:t>C10 | Terrix PR-PS-R primer</w:t>
      </w:r>
    </w:p>
    <w:p>
      <w:pPr>
        <w:pStyle w:val="Heading2"/>
      </w:pPr>
      <w:r>
        <w:t>Identity and evidence</w:t>
      </w:r>
    </w:p>
    <w:p>
      <w:r>
        <w:rPr>
          <w:b w:val="0"/>
        </w:rPr>
        <w:t>Archived SDS issue 2, 1 October 2021, names PR-PS-R/PR-PS-P; match exact supplied grade and obtain current issue. Mixture not classified; EUH208 allergy and EUH211 aerosol warning.</w:t>
      </w:r>
    </w:p>
    <w:p>
      <w:pPr>
        <w:pStyle w:val="Heading2"/>
      </w:pPr>
      <w:r>
        <w:t>Task people and exposure</w:t>
      </w:r>
    </w:p>
    <w:p>
      <w:r>
        <w:rPr>
          <w:b w:val="0"/>
        </w:rPr>
        <w:t>Priming external substrate; skin/eye contact, inhalation especially if sprayed. Applicators, assistants, cleaners and nearby trades may be exposed; complete the task record for actual duration and quantities.</w:t>
      </w:r>
    </w:p>
    <w:p>
      <w:pPr>
        <w:pStyle w:val="Heading2"/>
      </w:pPr>
      <w:r>
        <w:t>Required controls</w:t>
      </w:r>
    </w:p>
    <w:p>
      <w:r>
        <w:rPr>
          <w:b w:val="0"/>
        </w:rPr>
        <w:t>Use controlled hand application where the accepted system allows. Ventilate, protect skin/eyes and prevent aerosol drift. Spray requires a separate exposure decision, exclusion zone and suitable respiratory controls.</w:t>
      </w:r>
    </w:p>
    <w:p>
      <w:pPr>
        <w:pStyle w:val="Heading2"/>
      </w:pPr>
      <w:r>
        <w:t>Release conditions</w:t>
      </w:r>
    </w:p>
    <w:p>
      <w:r>
        <w:rPr>
          <w:b w:val="0"/>
        </w:rPr>
        <w:t>Resolve naming/current SDS, application method, preservative sensitivity and washout disposal.</w:t>
      </w:r>
    </w:p>
    <w:p>
      <w:pPr>
        <w:pStyle w:val="Heading2"/>
      </w:pPr>
      <w:r>
        <w:t>Local acceptance</w:t>
      </w:r>
    </w:p>
    <w:p>
      <w:r>
        <w:rPr>
          <w:b w:val="0"/>
        </w:rPr>
        <w:t>Apply the common controls and emergency arrangements. Keep the matching SDS available; its first-aid, storage and spill instructions must be briefed before release. Record quantities, exposure, PPE selection, risk judgment, reviewer and signature on the task record. Stop on loss of controls or symptoms.</w:t>
      </w:r>
    </w:p>
    <w:p>
      <w:r>
        <w:rPr>
          <w:b/>
        </w:rPr>
        <w:t>Status: □ Hold pending evidence  □ Site controls accepted  □ Not used</w:t>
        <w:br/>
        <w:t>Task record reference: __________________  Supervisor: __________________</w:t>
        <w:br/>
        <w:t>Reviewer / date: ________________________</w:t>
      </w:r>
    </w:p>
    <w:p>
      <w:r>
        <w:br w:type="page"/>
      </w:r>
    </w:p>
    <w:p>
      <w:pPr>
        <w:pStyle w:val="Heading1"/>
      </w:pPr>
      <w:r>
        <w:t>C11 | Terrix RD-PS-S external render</w:t>
      </w:r>
    </w:p>
    <w:p>
      <w:pPr>
        <w:pStyle w:val="Heading2"/>
      </w:pPr>
      <w:r>
        <w:t>Identity and evidence</w:t>
      </w:r>
    </w:p>
    <w:p>
      <w:r>
        <w:rPr>
          <w:b w:val="0"/>
        </w:rPr>
        <w:t>SDS v2, September 2022: H412 long-lasting aquatic harm; EUH208 allergic reaction warning. Confirm current matching SDS.</w:t>
      </w:r>
    </w:p>
    <w:p>
      <w:pPr>
        <w:pStyle w:val="Heading2"/>
      </w:pPr>
      <w:r>
        <w:t>Task people and exposure</w:t>
      </w:r>
    </w:p>
    <w:p>
      <w:r>
        <w:rPr>
          <w:b w:val="0"/>
        </w:rPr>
        <w:t>Wet render mixing/application and spraying; splash, skin and aerosol exposure. Applicators, assistants, cleaners and nearby trades may be exposed; complete the task record for actual duration and quantities.</w:t>
      </w:r>
    </w:p>
    <w:p>
      <w:pPr>
        <w:pStyle w:val="Heading2"/>
      </w:pPr>
      <w:r>
        <w:t>Required controls</w:t>
      </w:r>
    </w:p>
    <w:p>
      <w:r>
        <w:rPr>
          <w:b w:val="0"/>
        </w:rPr>
        <w:t>Segregate spray zone and protect nearby people. Ventilate and assess spray capture/RPE. Use compatible gloves and goggles. Protect drains, collect residue and equipment washings. Isolate pressurised equipment before clearing blockages.</w:t>
      </w:r>
    </w:p>
    <w:p>
      <w:pPr>
        <w:pStyle w:val="Heading2"/>
      </w:pPr>
      <w:r>
        <w:t>Release conditions</w:t>
      </w:r>
    </w:p>
    <w:p>
      <w:r>
        <w:rPr>
          <w:b w:val="0"/>
        </w:rPr>
        <w:t>Confirm spray settings, exposure controls, re-entry and waste route. Assess cured cutting/sanding separately.</w:t>
      </w:r>
    </w:p>
    <w:p>
      <w:pPr>
        <w:pStyle w:val="Heading2"/>
      </w:pPr>
      <w:r>
        <w:t>Local acceptance</w:t>
      </w:r>
    </w:p>
    <w:p>
      <w:r>
        <w:rPr>
          <w:b w:val="0"/>
        </w:rPr>
        <w:t>Apply the common controls and emergency arrangements. Keep the matching SDS available; its first-aid, storage and spill instructions must be briefed before release. Record quantities, exposure, PPE selection, risk judgment, reviewer and signature on the task record. Stop on loss of controls or symptoms.</w:t>
      </w:r>
    </w:p>
    <w:p>
      <w:r>
        <w:rPr>
          <w:b/>
        </w:rPr>
        <w:t>Status: □ Hold pending evidence  □ Site controls accepted  □ Not used</w:t>
        <w:br/>
        <w:t>Task record reference: __________________  Supervisor: __________________</w:t>
        <w:br/>
        <w:t>Reviewer / date: ________________________</w:t>
      </w:r>
    </w:p>
    <w:p>
      <w:r>
        <w:br w:type="page"/>
      </w:r>
    </w:p>
    <w:p>
      <w:pPr>
        <w:pStyle w:val="Heading1"/>
      </w:pPr>
      <w:r>
        <w:t>C12 | Terrix PL-SX finish plaster</w:t>
      </w:r>
    </w:p>
    <w:p>
      <w:pPr>
        <w:pStyle w:val="Heading2"/>
      </w:pPr>
      <w:r>
        <w:t>Identity and evidence</w:t>
      </w:r>
    </w:p>
    <w:p>
      <w:r>
        <w:rPr>
          <w:b w:val="0"/>
        </w:rPr>
        <w:t>HOLD: exact PL-SX grade unresolved. Archived PL-SX-S issue 1, 20 April 2018, is not sufficient to clear an unspecified current product.</w:t>
      </w:r>
    </w:p>
    <w:p>
      <w:pPr>
        <w:pStyle w:val="Heading2"/>
      </w:pPr>
      <w:r>
        <w:t>Task people and exposure</w:t>
      </w:r>
    </w:p>
    <w:p>
      <w:r>
        <w:rPr>
          <w:b w:val="0"/>
        </w:rPr>
        <w:t>Plaster application and possible spraying/sanding; formulation and exposure require confirmation. Applicators, assistants, cleaners and nearby trades may be exposed; complete the task record for actual duration and quantities.</w:t>
      </w:r>
    </w:p>
    <w:p>
      <w:pPr>
        <w:pStyle w:val="Heading2"/>
      </w:pPr>
      <w:r>
        <w:t>Required controls</w:t>
      </w:r>
    </w:p>
    <w:p>
      <w:r>
        <w:rPr>
          <w:b w:val="0"/>
        </w:rPr>
        <w:t>Approve substrate/system and application method. Prevent splashes, ventilate and segregate spraying. Control cured dust by extraction. Determine gloves, goggles and RPE from current product data.</w:t>
      </w:r>
    </w:p>
    <w:p>
      <w:pPr>
        <w:pStyle w:val="Heading2"/>
      </w:pPr>
      <w:r>
        <w:t>Release conditions</w:t>
      </w:r>
    </w:p>
    <w:p>
      <w:r>
        <w:rPr>
          <w:b w:val="0"/>
        </w:rPr>
        <w:t>Obtain exact grade/current SDS; old non-classified statement is not transferred to a different product.</w:t>
      </w:r>
    </w:p>
    <w:p>
      <w:pPr>
        <w:pStyle w:val="Heading2"/>
      </w:pPr>
      <w:r>
        <w:t>Local acceptance</w:t>
      </w:r>
    </w:p>
    <w:p>
      <w:r>
        <w:rPr>
          <w:b w:val="0"/>
        </w:rPr>
        <w:t>Apply the common controls and emergency arrangements. Keep the matching SDS available; its first-aid, storage and spill instructions must be briefed before release. Record quantities, exposure, PPE selection, risk judgment, reviewer and signature on the task record. Stop on loss of controls or symptoms.</w:t>
      </w:r>
    </w:p>
    <w:p>
      <w:r>
        <w:rPr>
          <w:b/>
        </w:rPr>
        <w:t>Status: □ Hold pending evidence  □ Site controls accepted  □ Not used</w:t>
        <w:br/>
        <w:t>Task record reference: __________________  Supervisor: __________________</w:t>
        <w:br/>
        <w:t>Reviewer / date: ________________________</w:t>
      </w:r>
    </w:p>
    <w:p>
      <w:r>
        <w:br w:type="page"/>
      </w:r>
    </w:p>
    <w:p>
      <w:pPr>
        <w:pStyle w:val="Heading1"/>
      </w:pPr>
      <w:r>
        <w:t>C13 | Terrix IP-ST-P internal paint</w:t>
      </w:r>
    </w:p>
    <w:p>
      <w:pPr>
        <w:pStyle w:val="Heading2"/>
      </w:pPr>
      <w:r>
        <w:t>Identity and evidence</w:t>
      </w:r>
    </w:p>
    <w:p>
      <w:r>
        <w:rPr>
          <w:b w:val="0"/>
        </w:rPr>
        <w:t>SDS v2, September 2022: mixture not classified; EUH211 spray/aerosol warning. Alkaline pH 11–12 reported. Confirm current issue.</w:t>
      </w:r>
    </w:p>
    <w:p>
      <w:pPr>
        <w:pStyle w:val="Heading2"/>
      </w:pPr>
      <w:r>
        <w:t>Task people and exposure</w:t>
      </w:r>
    </w:p>
    <w:p>
      <w:r>
        <w:rPr>
          <w:b w:val="0"/>
        </w:rPr>
        <w:t>Roller/brush or spray painting; skin/eye contact and spray inhalation. Applicators, assistants, cleaners and nearby trades may be exposed; complete the task record for actual duration and quantities.</w:t>
      </w:r>
    </w:p>
    <w:p>
      <w:pPr>
        <w:pStyle w:val="Heading2"/>
      </w:pPr>
      <w:r>
        <w:t>Required controls</w:t>
      </w:r>
    </w:p>
    <w:p>
      <w:r>
        <w:rPr>
          <w:b w:val="0"/>
        </w:rPr>
        <w:t>Prefer controlled hand application if specification allows. Ventilate and protect skin/eyes. Spray needs exclusion, ventilation and task-selected RPE; a non-classified mixture is not evidence that inhaling spray is safe.</w:t>
      </w:r>
    </w:p>
    <w:p>
      <w:pPr>
        <w:pStyle w:val="Heading2"/>
      </w:pPr>
      <w:r>
        <w:t>Release conditions</w:t>
      </w:r>
    </w:p>
    <w:p>
      <w:r>
        <w:rPr>
          <w:b w:val="0"/>
        </w:rPr>
        <w:t>Record actual application and drying/re-entry conditions. Assess cleaning product separately; contain washout.</w:t>
      </w:r>
    </w:p>
    <w:p>
      <w:pPr>
        <w:pStyle w:val="Heading2"/>
      </w:pPr>
      <w:r>
        <w:t>Local acceptance</w:t>
      </w:r>
    </w:p>
    <w:p>
      <w:r>
        <w:rPr>
          <w:b w:val="0"/>
        </w:rPr>
        <w:t>Apply the common controls and emergency arrangements. Keep the matching SDS available; its first-aid, storage and spill instructions must be briefed before release. Record quantities, exposure, PPE selection, risk judgment, reviewer and signature on the task record. Stop on loss of controls or symptoms.</w:t>
      </w:r>
    </w:p>
    <w:p>
      <w:r>
        <w:rPr>
          <w:b/>
        </w:rPr>
        <w:t>Status: □ Hold pending evidence  □ Site controls accepted  □ Not used</w:t>
        <w:br/>
        <w:t>Task record reference: __________________  Supervisor: __________________</w:t>
        <w:br/>
        <w:t>Reviewer / date: ________________________</w:t>
      </w:r>
    </w:p>
    <w:p>
      <w:r>
        <w:br w:type="page"/>
      </w:r>
    </w:p>
    <w:p>
      <w:pPr>
        <w:pStyle w:val="Heading1"/>
      </w:pPr>
      <w:r>
        <w:t>C14 | Terrix AD-BR brick-slip adhesive</w:t>
      </w:r>
    </w:p>
    <w:p>
      <w:pPr>
        <w:pStyle w:val="Heading2"/>
      </w:pPr>
      <w:r>
        <w:t>Identity and evidence</w:t>
      </w:r>
    </w:p>
    <w:p>
      <w:r>
        <w:rPr>
          <w:b w:val="0"/>
        </w:rPr>
        <w:t>SDS v3, October 2023: mixture not classified; EUH208 isothiazolinone allergy warning, EUH210. Confirm current matching product.</w:t>
      </w:r>
    </w:p>
    <w:p>
      <w:pPr>
        <w:pStyle w:val="Heading2"/>
      </w:pPr>
      <w:r>
        <w:t>Task people and exposure</w:t>
      </w:r>
    </w:p>
    <w:p>
      <w:r>
        <w:rPr>
          <w:b w:val="0"/>
        </w:rPr>
        <w:t>Brick-slip adhesive application; wet skin/eye contact. Brick cutting is C03; selected grout needs its own SDS assessment. Applicators, assistants, cleaners and nearby trades may be exposed; complete the task record for actual duration and quantities.</w:t>
      </w:r>
    </w:p>
    <w:p>
      <w:pPr>
        <w:pStyle w:val="Heading2"/>
      </w:pPr>
      <w:r>
        <w:t>Required controls</w:t>
      </w:r>
    </w:p>
    <w:p>
      <w:r>
        <w:rPr>
          <w:b w:val="0"/>
        </w:rPr>
        <w:t>Apply with controlled tools; avoid bare-hand contact and splashes. Select compatible gloves and eye protection. Maintain hygiene and collect waste. Do not substitute this sheet for AD-AB.</w:t>
      </w:r>
    </w:p>
    <w:p>
      <w:pPr>
        <w:pStyle w:val="Heading2"/>
      </w:pPr>
      <w:r>
        <w:t>Release conditions</w:t>
      </w:r>
    </w:p>
    <w:p>
      <w:r>
        <w:rPr>
          <w:b w:val="0"/>
        </w:rPr>
        <w:t>Confirm brick-slip system, grout product, cutting controls and sensitisation precautions before work.</w:t>
      </w:r>
    </w:p>
    <w:p>
      <w:pPr>
        <w:pStyle w:val="Heading2"/>
      </w:pPr>
      <w:r>
        <w:t>Local acceptance</w:t>
      </w:r>
    </w:p>
    <w:p>
      <w:r>
        <w:rPr>
          <w:b w:val="0"/>
        </w:rPr>
        <w:t>Apply the common controls and emergency arrangements. Keep the matching SDS available; its first-aid, storage and spill instructions must be briefed before release. Record quantities, exposure, PPE selection, risk judgment, reviewer and signature on the task record. Stop on loss of controls or symptoms.</w:t>
      </w:r>
    </w:p>
    <w:p>
      <w:r>
        <w:rPr>
          <w:b/>
        </w:rPr>
        <w:t>Status: □ Hold pending evidence  □ Site controls accepted  □ Not used</w:t>
        <w:br/>
        <w:t>Task record reference: __________________  Supervisor: __________________</w:t>
        <w:br/>
        <w:t>Reviewer / date: ________________________</w:t>
      </w:r>
    </w:p>
    <w:p>
      <w:r>
        <w:br w:type="page"/>
      </w:r>
    </w:p>
    <w:p>
      <w:pPr>
        <w:pStyle w:val="Heading1"/>
      </w:pPr>
      <w:r>
        <w:t>C15 | Remmers roof system and cleaners</w:t>
      </w:r>
    </w:p>
    <w:p>
      <w:pPr>
        <w:pStyle w:val="Heading2"/>
      </w:pPr>
      <w:r>
        <w:t>Identity and evidence</w:t>
      </w:r>
    </w:p>
    <w:p>
      <w:r>
        <w:rPr>
          <w:b w:val="0"/>
        </w:rPr>
        <w:t>HOLD: exact membrane/coating, primer, activator and cleaning products not identified.</w:t>
      </w:r>
    </w:p>
    <w:p>
      <w:pPr>
        <w:pStyle w:val="Heading2"/>
      </w:pPr>
      <w:r>
        <w:t>Task people and exposure</w:t>
      </w:r>
    </w:p>
    <w:p>
      <w:r>
        <w:rPr>
          <w:b w:val="0"/>
        </w:rPr>
        <w:t>Roof application; each component may have different inhalation, skin, ignition and curing hazards. Applicators, assistants, cleaners and nearby trades may be exposed; complete the task record for actual duration and quantities.</w:t>
      </w:r>
    </w:p>
    <w:p>
      <w:pPr>
        <w:pStyle w:val="Heading2"/>
      </w:pPr>
      <w:r>
        <w:t>Required controls</w:t>
      </w:r>
    </w:p>
    <w:p>
      <w:r>
        <w:rPr>
          <w:b w:val="0"/>
        </w:rPr>
        <w:t>Obtain full system list and SDS for every component. Assess mixing, application, ventilation, ignition control, compatible PPE, spill response and curing access. Roof-edge controls remain under HomePod RAMS.</w:t>
      </w:r>
    </w:p>
    <w:p>
      <w:pPr>
        <w:pStyle w:val="Heading2"/>
      </w:pPr>
      <w:r>
        <w:t>Release conditions</w:t>
      </w:r>
    </w:p>
    <w:p>
      <w:r>
        <w:rPr>
          <w:b w:val="0"/>
        </w:rPr>
        <w:t>Complete a separate product assessment for each component and confirm roof system technical acceptance before application.</w:t>
      </w:r>
    </w:p>
    <w:p>
      <w:pPr>
        <w:pStyle w:val="Heading2"/>
      </w:pPr>
      <w:r>
        <w:t>Local acceptance</w:t>
      </w:r>
    </w:p>
    <w:p>
      <w:r>
        <w:rPr>
          <w:b w:val="0"/>
        </w:rPr>
        <w:t>Apply the common controls and emergency arrangements. Keep the matching SDS available; its first-aid, storage and spill instructions must be briefed before release. Record quantities, exposure, PPE selection, risk judgment, reviewer and signature on the task record. Stop on loss of controls or symptoms.</w:t>
      </w:r>
    </w:p>
    <w:p>
      <w:r>
        <w:rPr>
          <w:b/>
        </w:rPr>
        <w:t>Status: □ Hold pending evidence  □ Site controls accepted  □ Not used</w:t>
        <w:br/>
        <w:t>Task record reference: __________________  Supervisor: __________________</w:t>
        <w:br/>
        <w:t>Reviewer / date: ________________________</w:t>
      </w:r>
    </w:p>
    <w:p>
      <w:r>
        <w:br w:type="page"/>
      </w:r>
    </w:p>
    <w:p>
      <w:pPr>
        <w:pStyle w:val="Heading1"/>
      </w:pPr>
      <w:r>
        <w:t>C16 | SIGA Fentrim and other sealing accessories</w:t>
      </w:r>
    </w:p>
    <w:p>
      <w:pPr>
        <w:pStyle w:val="Heading2"/>
      </w:pPr>
      <w:r>
        <w:t>Identity and evidence</w:t>
      </w:r>
    </w:p>
    <w:p>
      <w:r>
        <w:rPr>
          <w:b w:val="0"/>
        </w:rPr>
        <w:t>Exact tape variant/primer and any external sealant or cleaning product must be matched. Avoid duplicate assessment where C05 or C06 is the selected product.</w:t>
      </w:r>
    </w:p>
    <w:p>
      <w:pPr>
        <w:pStyle w:val="Heading2"/>
      </w:pPr>
      <w:r>
        <w:t>Task people and exposure</w:t>
      </w:r>
    </w:p>
    <w:p>
      <w:r>
        <w:rPr>
          <w:b w:val="0"/>
        </w:rPr>
        <w:t>Tape application and associated primers/cleaners; exposure depends on products used. Applicators, assistants, cleaners and nearby trades may be exposed; complete the task record for actual duration and quantities.</w:t>
      </w:r>
    </w:p>
    <w:p>
      <w:pPr>
        <w:pStyle w:val="Heading2"/>
      </w:pPr>
      <w:r>
        <w:t>Required controls</w:t>
      </w:r>
    </w:p>
    <w:p>
      <w:r>
        <w:rPr>
          <w:b w:val="0"/>
        </w:rPr>
        <w:t>Confirm substrate preparation and tape system. Use tools to minimise skin contact with adhesives. No unassessed solvent cleaning or primer. Assess ventilation, ignition and chemical PPE if a liquid accessory is introduced.</w:t>
      </w:r>
    </w:p>
    <w:p>
      <w:pPr>
        <w:pStyle w:val="Heading2"/>
      </w:pPr>
      <w:r>
        <w:t>Release conditions</w:t>
      </w:r>
    </w:p>
    <w:p>
      <w:r>
        <w:rPr>
          <w:b w:val="0"/>
        </w:rPr>
        <w:t>Record exact product names, safety information and any additional assessments. Do not infer one tape variant covers every accessory.</w:t>
      </w:r>
    </w:p>
    <w:p>
      <w:pPr>
        <w:pStyle w:val="Heading2"/>
      </w:pPr>
      <w:r>
        <w:t>Local acceptance</w:t>
      </w:r>
    </w:p>
    <w:p>
      <w:r>
        <w:rPr>
          <w:b w:val="0"/>
        </w:rPr>
        <w:t>Apply the common controls and emergency arrangements. Keep the matching SDS available; its first-aid, storage and spill instructions must be briefed before release. Record quantities, exposure, PPE selection, risk judgment, reviewer and signature on the task record. Stop on loss of controls or symptoms.</w:t>
      </w:r>
    </w:p>
    <w:p>
      <w:r>
        <w:rPr>
          <w:b/>
        </w:rPr>
        <w:t>Status: □ Hold pending evidence  □ Site controls accepted  □ Not used</w:t>
        <w:br/>
        <w:t>Task record reference: __________________  Supervisor: __________________</w:t>
        <w:br/>
        <w:t>Reviewer / date: ________________________</w:t>
      </w:r>
    </w:p>
    <w:p>
      <w:r>
        <w:br w:type="page"/>
      </w:r>
    </w:p>
    <w:p>
      <w:pPr>
        <w:pStyle w:val="Heading1"/>
      </w:pPr>
      <w:r>
        <w:t>Evidence register and briefing</w:t>
      </w:r>
    </w:p>
    <w:p>
      <w:r>
        <w:rPr>
          <w:b w:val="0"/>
        </w:rPr>
        <w:t>Internal sources: HomePod and IPS Build Process Master Revision 8; Fixings North West Quote_Q299705(1).pdf; supplied Terrix SDS files listed on individual assessments; Sulfrock/Sulfycor draft COSHH dated 29 September 2026. Supplier SDS availability does not establish that the product is selected for every build.</w:t>
      </w:r>
    </w:p>
    <w:p>
      <w:r>
        <w:rPr>
          <w:b w:val="0"/>
        </w:rPr>
        <w:t>Rawlplug manufacturer SDS: R-RPP-B1, v2.3, 29 July 2024. Product and SDS downloads: https://rawlplug.com/global/en/p/r-rpp-b1</w:t>
      </w:r>
    </w:p>
    <w:p>
      <w:r>
        <w:rPr>
          <w:b w:val="0"/>
        </w:rPr>
        <w:t>HSE guidance checked 11 October 2026:</w:t>
      </w:r>
    </w:p>
    <w:p>
      <w:r>
        <w:rPr>
          <w:b w:val="0"/>
        </w:rPr>
        <w:t>https://www.hse.gov.uk/coshh/basics/assessment.htm</w:t>
      </w:r>
    </w:p>
    <w:p>
      <w:r>
        <w:rPr>
          <w:b w:val="0"/>
        </w:rPr>
        <w:t>https://www.hse.gov.uk/coshh/basics/datasheets.htm</w:t>
      </w:r>
    </w:p>
    <w:p>
      <w:r>
        <w:rPr>
          <w:b w:val="0"/>
        </w:rPr>
        <w:t>https://www.hse.gov.uk/construction/healthrisks/hazardous-substances/construction-dust.htm</w:t>
      </w:r>
    </w:p>
    <w:p>
      <w:r>
        <w:rPr>
          <w:b w:val="0"/>
        </w:rPr>
        <w:t>https://www.hse.gov.uk/construction/healthrisks/hazardous-substances/isocyanates.htm</w:t>
      </w:r>
    </w:p>
    <w:p>
      <w:r>
        <w:rPr>
          <w:b w:val="0"/>
        </w:rPr>
        <w:t>https://www.hse.gov.uk/woodworking/wooddust.htm</w:t>
      </w:r>
    </w:p>
    <w:p>
      <w:pPr>
        <w:pStyle w:val="Heading2"/>
      </w:pPr>
      <w:r>
        <w:t>Briefing acknowledgement</w:t>
      </w:r>
    </w:p>
    <w:p>
      <w:r>
        <w:rPr>
          <w:b w:val="0"/>
        </w:rPr>
        <w:t>I understand the tasks authorised, exposure controls, product restrictions, emergency arrangements and when to stop. Signing does not remove unresolved hold points.</w:t>
      </w:r>
    </w:p>
    <w:tbl>
      <w:tblPr>
        <w:tblStyle w:val="TableGrid"/>
        <w:tblW w:type="auto" w:w="0"/>
        <w:tblLayout w:type="fixed"/>
        <w:tblLook w:firstColumn="1" w:firstRow="1" w:lastColumn="0" w:lastRow="0" w:noHBand="0" w:noVBand="1" w:val="04A0"/>
      </w:tblPr>
      <w:tblGrid>
        <w:gridCol w:w="3346"/>
        <w:gridCol w:w="3346"/>
        <w:gridCol w:w="3346"/>
      </w:tblGrid>
      <w:tr>
        <w:trPr>
          <w:tblHeader/>
          <w:cantSplit/>
        </w:trPr>
        <w:tc>
          <w:tcPr>
            <w:tcW w:type="dxa" w:w="3346"/>
            <w:shd w:fill="E7EFF3"/>
          </w:tcPr>
          <w:p>
            <w:pPr>
              <w:spacing w:after="80" w:before="60"/>
            </w:pPr>
            <w:r>
              <w:rPr>
                <w:b/>
                <w:sz w:val="19"/>
              </w:rPr>
              <w:t>Name / employer</w:t>
            </w:r>
          </w:p>
        </w:tc>
        <w:tc>
          <w:tcPr>
            <w:tcW w:type="dxa" w:w="3346"/>
            <w:shd w:fill="E7EFF3"/>
          </w:tcPr>
          <w:p>
            <w:pPr>
              <w:spacing w:after="80" w:before="60"/>
            </w:pPr>
            <w:r>
              <w:rPr>
                <w:b/>
                <w:sz w:val="19"/>
              </w:rPr>
              <w:t>Assessment IDs</w:t>
            </w:r>
          </w:p>
        </w:tc>
        <w:tc>
          <w:tcPr>
            <w:tcW w:type="dxa" w:w="3346"/>
            <w:shd w:fill="E7EFF3"/>
          </w:tcPr>
          <w:p>
            <w:pPr>
              <w:spacing w:after="80" w:before="60"/>
            </w:pPr>
            <w:r>
              <w:rPr>
                <w:b/>
                <w:sz w:val="19"/>
              </w:rPr>
              <w:t>Signature / date</w:t>
            </w:r>
          </w:p>
        </w:tc>
      </w:tr>
      <w:tr>
        <w:trPr>
          <w:cantSplit/>
        </w:trPr>
        <w:tc>
          <w:tcPr>
            <w:tcW w:type="dxa" w:w="3346"/>
          </w:tcPr>
          <w:p>
            <w:pPr>
              <w:spacing w:after="80" w:before="60"/>
            </w:pPr>
            <w:r>
              <w:rPr>
                <w:sz w:val="19"/>
              </w:rPr>
            </w:r>
          </w:p>
        </w:tc>
        <w:tc>
          <w:tcPr>
            <w:tcW w:type="dxa" w:w="3346"/>
          </w:tcPr>
          <w:p>
            <w:pPr>
              <w:spacing w:after="80" w:before="60"/>
            </w:pPr>
            <w:r>
              <w:rPr>
                <w:sz w:val="19"/>
              </w:rPr>
            </w:r>
          </w:p>
        </w:tc>
        <w:tc>
          <w:tcPr>
            <w:tcW w:type="dxa" w:w="3346"/>
          </w:tcPr>
          <w:p>
            <w:pPr>
              <w:spacing w:after="80" w:before="60"/>
            </w:pPr>
            <w:r>
              <w:rPr>
                <w:sz w:val="19"/>
              </w:rPr>
            </w:r>
          </w:p>
        </w:tc>
      </w:tr>
      <w:tr>
        <w:trPr>
          <w:cantSplit/>
        </w:trPr>
        <w:tc>
          <w:tcPr>
            <w:tcW w:type="dxa" w:w="3346"/>
          </w:tcPr>
          <w:p>
            <w:pPr>
              <w:spacing w:after="80" w:before="60"/>
            </w:pPr>
            <w:r>
              <w:rPr>
                <w:sz w:val="19"/>
              </w:rPr>
            </w:r>
          </w:p>
        </w:tc>
        <w:tc>
          <w:tcPr>
            <w:tcW w:type="dxa" w:w="3346"/>
          </w:tcPr>
          <w:p>
            <w:pPr>
              <w:spacing w:after="80" w:before="60"/>
            </w:pPr>
            <w:r>
              <w:rPr>
                <w:sz w:val="19"/>
              </w:rPr>
            </w:r>
          </w:p>
        </w:tc>
        <w:tc>
          <w:tcPr>
            <w:tcW w:type="dxa" w:w="3346"/>
          </w:tcPr>
          <w:p>
            <w:pPr>
              <w:spacing w:after="80" w:before="60"/>
            </w:pPr>
            <w:r>
              <w:rPr>
                <w:sz w:val="19"/>
              </w:rPr>
            </w:r>
          </w:p>
        </w:tc>
      </w:tr>
      <w:tr>
        <w:trPr>
          <w:cantSplit/>
        </w:trPr>
        <w:tc>
          <w:tcPr>
            <w:tcW w:type="dxa" w:w="3346"/>
          </w:tcPr>
          <w:p>
            <w:pPr>
              <w:spacing w:after="80" w:before="60"/>
            </w:pPr>
            <w:r>
              <w:rPr>
                <w:sz w:val="19"/>
              </w:rPr>
            </w:r>
          </w:p>
        </w:tc>
        <w:tc>
          <w:tcPr>
            <w:tcW w:type="dxa" w:w="3346"/>
          </w:tcPr>
          <w:p>
            <w:pPr>
              <w:spacing w:after="80" w:before="60"/>
            </w:pPr>
            <w:r>
              <w:rPr>
                <w:sz w:val="19"/>
              </w:rPr>
            </w:r>
          </w:p>
        </w:tc>
        <w:tc>
          <w:tcPr>
            <w:tcW w:type="dxa" w:w="3346"/>
          </w:tcPr>
          <w:p>
            <w:pPr>
              <w:spacing w:after="80" w:before="60"/>
            </w:pPr>
            <w:r>
              <w:rPr>
                <w:sz w:val="19"/>
              </w:rPr>
            </w:r>
          </w:p>
        </w:tc>
      </w:tr>
      <w:tr>
        <w:trPr>
          <w:cantSplit/>
        </w:trPr>
        <w:tc>
          <w:tcPr>
            <w:tcW w:type="dxa" w:w="3346"/>
          </w:tcPr>
          <w:p>
            <w:pPr>
              <w:spacing w:after="80" w:before="60"/>
            </w:pPr>
            <w:r>
              <w:rPr>
                <w:sz w:val="19"/>
              </w:rPr>
            </w:r>
          </w:p>
        </w:tc>
        <w:tc>
          <w:tcPr>
            <w:tcW w:type="dxa" w:w="3346"/>
          </w:tcPr>
          <w:p>
            <w:pPr>
              <w:spacing w:after="80" w:before="60"/>
            </w:pPr>
            <w:r>
              <w:rPr>
                <w:sz w:val="19"/>
              </w:rPr>
            </w:r>
          </w:p>
        </w:tc>
        <w:tc>
          <w:tcPr>
            <w:tcW w:type="dxa" w:w="3346"/>
          </w:tcPr>
          <w:p>
            <w:pPr>
              <w:spacing w:after="80" w:before="60"/>
            </w:pPr>
            <w:r>
              <w:rPr>
                <w:sz w:val="19"/>
              </w:rPr>
            </w:r>
          </w:p>
        </w:tc>
      </w:tr>
      <w:tr>
        <w:trPr>
          <w:cantSplit/>
        </w:trPr>
        <w:tc>
          <w:tcPr>
            <w:tcW w:type="dxa" w:w="3346"/>
          </w:tcPr>
          <w:p>
            <w:pPr>
              <w:spacing w:after="80" w:before="60"/>
            </w:pPr>
            <w:r>
              <w:rPr>
                <w:sz w:val="19"/>
              </w:rPr>
            </w:r>
          </w:p>
        </w:tc>
        <w:tc>
          <w:tcPr>
            <w:tcW w:type="dxa" w:w="3346"/>
          </w:tcPr>
          <w:p>
            <w:pPr>
              <w:spacing w:after="80" w:before="60"/>
            </w:pPr>
            <w:r>
              <w:rPr>
                <w:sz w:val="19"/>
              </w:rPr>
            </w:r>
          </w:p>
        </w:tc>
        <w:tc>
          <w:tcPr>
            <w:tcW w:type="dxa" w:w="3346"/>
          </w:tcPr>
          <w:p>
            <w:pPr>
              <w:spacing w:after="80" w:before="60"/>
            </w:pPr>
            <w:r>
              <w:rPr>
                <w:sz w:val="19"/>
              </w:rPr>
            </w:r>
          </w:p>
        </w:tc>
      </w:tr>
    </w:tbl>
    <w:sectPr w:rsidR="00FC693F" w:rsidRPr="0006063C" w:rsidSect="00034616">
      <w:headerReference w:type="default" r:id="rId9"/>
      <w:footerReference w:type="default" r:id="rId10"/>
      <w:pgSz w:w="11909" w:h="16834"/>
      <w:pgMar w:top="2491" w:right="936" w:bottom="1354" w:left="936" w:header="259" w:footer="33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40"/>
      <w:jc w:val="center"/>
      <w:pBdr>
        <w:top w:val="single" w:sz="5" w:color="B7CDD2" w:space="11"/>
      </w:pBdr>
    </w:pPr>
    <w:r>
      <w:rPr>
        <w:rFonts w:ascii="Arial" w:hAnsi="Arial" w:eastAsia="Arial" w:cs="Arial"/>
        <w:color w:val="54656F"/>
        <w:sz w:val="16"/>
      </w:rPr>
      <w:t>6 Mallow Croft, Rochdale, OL16 4RS</w:t>
    </w:r>
  </w:p>
  <w:p>
    <w:pPr>
      <w:spacing w:after="40"/>
      <w:jc w:val="center"/>
    </w:pPr>
    <w:r>
      <w:rPr>
        <w:rFonts w:ascii="Arial" w:hAnsi="Arial" w:eastAsia="Arial" w:cs="Arial"/>
        <w:color w:val="54656F"/>
        <w:sz w:val="16"/>
      </w:rPr>
      <w:t>07786 388201   |   re@intelligentpanelsystems.com   |   Company no. 15815255</w:t>
    </w:r>
  </w:p>
  <w:p>
    <w:pPr>
      <w:spacing w:after="40"/>
      <w:jc w:val="center"/>
    </w:pPr>
    <w:r>
      <w:rPr>
        <w:rFonts w:ascii="Arial" w:hAnsi="Arial" w:eastAsia="Arial" w:cs="Arial"/>
        <w:color w:val="54656F"/>
        <w:sz w:val="16"/>
      </w:rPr>
      <w:t>www.intelligentpanelsystems.com</w:t>
    </w:r>
  </w:p>
  <w:p>
    <w:pPr>
      <w:jc w:val="center"/>
    </w:pPr>
    <w:r>
      <w:rPr>
        <w:sz w:val="16"/>
      </w:rPr>
      <w:t xml:space="preserve">IPS-COSHH | Rev 1 | 11 October 2026 | Site review required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before="0"/>
      <w:jc w:val="center"/>
    </w:pPr>
    <w:r>
      <w:rPr>
        <w:rFonts w:ascii="Arial" w:hAnsi="Arial" w:eastAsia="Arial" w:cs="Arial"/>
      </w:rPr>
      <w:drawing>
        <wp:inline xmlns:a="http://schemas.openxmlformats.org/drawingml/2006/main" xmlns:pic="http://schemas.openxmlformats.org/drawingml/2006/picture">
          <wp:extent cx="3383279" cy="1222911"/>
          <wp:docPr id="1" name="Picture 1"/>
          <wp:cNvGraphicFramePr>
            <a:graphicFrameLocks noChangeAspect="1"/>
          </wp:cNvGraphicFramePr>
          <a:graphic>
            <a:graphicData uri="http://schemas.openxmlformats.org/drawingml/2006/picture">
              <pic:pic>
                <pic:nvPicPr>
                  <pic:cNvPr id="0" name="exec-e68e9a7d-e25d-4976-979c-0528beecb11d.png"/>
                  <pic:cNvPicPr/>
                </pic:nvPicPr>
                <pic:blipFill>
                  <a:blip r:embed="rId2"/>
                  <a:stretch>
                    <a:fillRect/>
                  </a:stretch>
                </pic:blipFill>
                <pic:spPr>
                  <a:xfrm>
                    <a:off x="0" y="0"/>
                    <a:ext cx="3383279" cy="1222911"/>
                  </a:xfrm>
                  <a:prstGeom prst="rect"/>
                </pic:spPr>
              </pic:pic>
            </a:graphicData>
          </a:graphic>
        </wp:inline>
      </w:drawing>
    </w:r>
  </w:p>
  <w:p>
    <w:pPr>
      <w:spacing w:before="0" w:after="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0" w:lineRule="auto"/>
    </w:pPr>
    <w:rPr>
      <w:rFonts w:ascii="Calibri" w:hAnsi="Calibri" w:eastAsia="Arial" w:cs="Arial"/>
      <w:color w:val="172B3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Calibri" w:hAnsi="Calibri" w:eastAsia="Arial" w:cs="Arial"/>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Calibri" w:hAnsi="Calibri" w:eastAsia="Arial" w:cs="Arial"/>
      <w:b/>
      <w:bCs/>
      <w:color w:val="103B4C"/>
      <w:sz w:val="24"/>
      <w:szCs w:val="26"/>
    </w:rPr>
  </w:style>
  <w:style w:type="paragraph" w:styleId="Heading3">
    <w:name w:val="heading 3"/>
    <w:basedOn w:val="Normal"/>
    <w:next w:val="Normal"/>
    <w:link w:val="Heading3Char"/>
    <w:uiPriority w:val="9"/>
    <w:unhideWhenUsed/>
    <w:qFormat/>
    <w:rsid w:val="00FC693F"/>
    <w:pPr>
      <w:keepNext/>
      <w:keepLines/>
      <w:spacing w:before="180" w:after="100"/>
      <w:outlineLvl w:val="2"/>
    </w:pPr>
    <w:rPr>
      <w:rFonts w:ascii="Calibri" w:hAnsi="Calibri" w:eastAsia="Arial" w:cs="Arial"/>
      <w:b/>
      <w:bCs/>
      <w:color w:val="103B4C"/>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Arial" w:hAnsi="Arial" w:eastAsia="Arial" w:cs="Arial"/>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Arial" w:hAnsi="Arial" w:eastAsia="Arial" w:cs="Arial"/>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Arial" w:hAnsi="Arial" w:eastAsia="Arial" w:cs="Arial"/>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Arial" w:hAnsi="Arial" w:eastAsia="Arial" w:cs="Arial"/>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Arial" w:hAnsi="Arial" w:eastAsia="Arial" w:cs="Arial"/>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Arial" w:hAnsi="Arial" w:eastAsia="Arial" w:cs="Arial"/>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Arial" w:hAnsi="Arial" w:eastAsia="Arial" w:cs="Arial"/>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Arial" w:hAnsi="Arial" w:eastAsia="Arial" w:cs="Arial"/>
      <w:b/>
      <w:bCs/>
      <w:color w:val="4F81BD" w:themeColor="accent1"/>
      <w:sz w:val="26"/>
      <w:szCs w:val="26"/>
    </w:rPr>
  </w:style>
  <w:style w:type="character" w:customStyle="1" w:styleId="Heading3Char">
    <w:name w:val="Heading 3 Char"/>
    <w:basedOn w:val="DefaultParagraphFont"/>
    <w:link w:val="Heading3"/>
    <w:uiPriority w:val="9"/>
    <w:rsid w:val="00FC693F"/>
    <w:rPr>
      <w:rFonts w:ascii="Arial" w:hAnsi="Arial" w:eastAsia="Arial" w:cs="Arial"/>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80"/>
      <w:contextualSpacing/>
    </w:pPr>
    <w:rPr>
      <w:rFonts w:ascii="Calibri" w:hAnsi="Calibri" w:eastAsia="Arial" w:cs="Arial"/>
      <w:color w:val="000000"/>
      <w:spacing w:val="5"/>
      <w:kern w:val="28"/>
      <w:sz w:val="44"/>
      <w:szCs w:val="52"/>
    </w:rPr>
  </w:style>
  <w:style w:type="character" w:customStyle="1" w:styleId="TitleChar">
    <w:name w:val="Title Char"/>
    <w:basedOn w:val="DefaultParagraphFont"/>
    <w:link w:val="Title"/>
    <w:uiPriority w:val="10"/>
    <w:rsid w:val="00FC693F"/>
    <w:rPr>
      <w:rFonts w:ascii="Arial" w:hAnsi="Arial" w:eastAsia="Arial" w:cs="Arial"/>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Arial" w:hAnsi="Arial" w:eastAsia="Arial" w:cs="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Arial" w:hAnsi="Arial" w:eastAsia="Arial" w:cs="Arial"/>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eastAsia="Arial" w:cs="Arial"/>
      <w:sz w:val="20"/>
      <w:szCs w:val="20"/>
    </w:rPr>
  </w:style>
  <w:style w:type="character" w:customStyle="1" w:styleId="MacroTextChar">
    <w:name w:val="Macro Text Char"/>
    <w:basedOn w:val="DefaultParagraphFont"/>
    <w:link w:val="MacroText"/>
    <w:uiPriority w:val="99"/>
    <w:rsid w:val="0029639D"/>
    <w:rPr>
      <w:rFonts w:ascii="Arial" w:hAnsi="Arial" w:eastAsia="Arial" w:cs="Arial"/>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Arial" w:hAnsi="Arial" w:eastAsia="Arial" w:cs="Arial"/>
      <w:b/>
      <w:bCs/>
      <w:i/>
      <w:iCs/>
      <w:color w:val="4F81BD" w:themeColor="accent1"/>
    </w:rPr>
  </w:style>
  <w:style w:type="character" w:customStyle="1" w:styleId="Heading5Char">
    <w:name w:val="Heading 5 Char"/>
    <w:basedOn w:val="DefaultParagraphFont"/>
    <w:link w:val="Heading5"/>
    <w:uiPriority w:val="9"/>
    <w:semiHidden/>
    <w:rsid w:val="00FC693F"/>
    <w:rPr>
      <w:rFonts w:ascii="Arial" w:hAnsi="Arial" w:eastAsia="Arial" w:cs="Arial"/>
      <w:color w:val="243F60" w:themeColor="accent1" w:themeShade="7F"/>
    </w:rPr>
  </w:style>
  <w:style w:type="character" w:customStyle="1" w:styleId="Heading6Char">
    <w:name w:val="Heading 6 Char"/>
    <w:basedOn w:val="DefaultParagraphFont"/>
    <w:link w:val="Heading6"/>
    <w:uiPriority w:val="9"/>
    <w:semiHidden/>
    <w:rsid w:val="00FC693F"/>
    <w:rPr>
      <w:rFonts w:ascii="Arial" w:hAnsi="Arial" w:eastAsia="Arial" w:cs="Arial"/>
      <w:i/>
      <w:iCs/>
      <w:color w:val="243F60" w:themeColor="accent1" w:themeShade="7F"/>
    </w:rPr>
  </w:style>
  <w:style w:type="character" w:customStyle="1" w:styleId="Heading7Char">
    <w:name w:val="Heading 7 Char"/>
    <w:basedOn w:val="DefaultParagraphFont"/>
    <w:link w:val="Heading7"/>
    <w:uiPriority w:val="9"/>
    <w:semiHidden/>
    <w:rsid w:val="00FC693F"/>
    <w:rPr>
      <w:rFonts w:ascii="Arial" w:hAnsi="Arial" w:eastAsia="Arial" w:cs="Arial"/>
      <w:i/>
      <w:iCs/>
      <w:color w:val="404040" w:themeColor="text1" w:themeTint="BF"/>
    </w:rPr>
  </w:style>
  <w:style w:type="character" w:customStyle="1" w:styleId="Heading8Char">
    <w:name w:val="Heading 8 Char"/>
    <w:basedOn w:val="DefaultParagraphFont"/>
    <w:link w:val="Heading8"/>
    <w:uiPriority w:val="9"/>
    <w:semiHidden/>
    <w:rsid w:val="00FC693F"/>
    <w:rPr>
      <w:rFonts w:ascii="Arial" w:hAnsi="Arial" w:eastAsia="Arial" w:cs="Arial"/>
      <w:color w:val="4F81BD" w:themeColor="accent1"/>
      <w:sz w:val="20"/>
      <w:szCs w:val="20"/>
    </w:rPr>
  </w:style>
  <w:style w:type="character" w:customStyle="1" w:styleId="Heading9Char">
    <w:name w:val="Heading 9 Char"/>
    <w:basedOn w:val="DefaultParagraphFont"/>
    <w:link w:val="Heading9"/>
    <w:uiPriority w:val="9"/>
    <w:semiHidden/>
    <w:rsid w:val="00FC693F"/>
    <w:rPr>
      <w:rFonts w:ascii="Arial" w:hAnsi="Arial" w:eastAsia="Arial" w:cs="Arial"/>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Arial" w:hAnsi="Arial" w:eastAsia="Arial" w:cs="Arial"/>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Arial" w:hAnsi="Arial" w:eastAsia="Arial" w:cs="Arial"/>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Arial" w:hAnsi="Arial" w:eastAsia="Arial" w:cs="Arial"/>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Arial" w:hAnsi="Arial" w:eastAsia="Arial" w:cs="Arial"/>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Arial" w:hAnsi="Arial" w:eastAsia="Arial" w:cs="Arial"/>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Arial" w:hAnsi="Arial" w:eastAsia="Arial" w:cs="Arial"/>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Arial" w:hAnsi="Arial" w:eastAsia="Arial" w:cs="Arial"/>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hAnsi="Arial" w:eastAsia="Arial" w:cs="Arial"/>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Arial" w:hAnsi="Arial" w:eastAsia="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Arial" w:hAnsi="Arial" w:eastAsia="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Arial" w:hAnsi="Arial" w:eastAsia="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Arial" w:hAnsi="Arial" w:eastAsia="Arial" w:cs="Arial"/>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Arial" w:hAnsi="Arial" w:eastAsia="Arial" w:cs="Arial"/>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Arial" w:hAnsi="Arial" w:eastAsia="Arial" w:cs="Arial"/>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Arial" w:hAnsi="Arial" w:eastAsia="Arial" w:cs="Arial"/>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Arial" w:hAnsi="Arial" w:eastAsia="Arial" w:cs="Arial"/>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Arial" w:hAnsi="Arial" w:eastAsia="Arial" w:cs="Arial"/>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Arial" w:hAnsi="Arial" w:eastAsia="Arial" w:cs="Arial"/>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Arial" w:hAnsi="Arial" w:eastAsia="Arial" w:cs="Arial"/>
      <w:b/>
      <w:bCs/>
      <w:color w:val="4F81BD" w:themeColor="accent1"/>
      <w:sz w:val="26"/>
      <w:szCs w:val="26"/>
    </w:rPr>
  </w:style>
  <w:style w:type="character" w:customStyle="1" w:styleId="Heading3Char">
    <w:name w:val="Heading 3 Char"/>
    <w:basedOn w:val="DefaultParagraphFont"/>
    <w:link w:val="Heading3"/>
    <w:uiPriority w:val="9"/>
    <w:rsid w:val="00FC693F"/>
    <w:rPr>
      <w:rFonts w:ascii="Arial" w:hAnsi="Arial" w:eastAsia="Arial" w:cs="Arial"/>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Arial" w:hAnsi="Arial" w:eastAsia="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Arial" w:hAnsi="Arial" w:eastAsia="Arial" w:cs="Arial"/>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Arial" w:hAnsi="Arial" w:eastAsia="Arial" w:cs="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Arial" w:hAnsi="Arial" w:eastAsia="Arial" w:cs="Arial"/>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eastAsia="Arial" w:cs="Arial"/>
      <w:sz w:val="20"/>
      <w:szCs w:val="20"/>
    </w:rPr>
  </w:style>
  <w:style w:type="character" w:customStyle="1" w:styleId="MacroTextChar">
    <w:name w:val="Macro Text Char"/>
    <w:basedOn w:val="DefaultParagraphFont"/>
    <w:link w:val="MacroText"/>
    <w:uiPriority w:val="99"/>
    <w:rsid w:val="0029639D"/>
    <w:rPr>
      <w:rFonts w:ascii="Arial" w:hAnsi="Arial" w:eastAsia="Arial" w:cs="Arial"/>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Arial" w:hAnsi="Arial" w:eastAsia="Arial" w:cs="Arial"/>
      <w:b/>
      <w:bCs/>
      <w:i/>
      <w:iCs/>
      <w:color w:val="4F81BD" w:themeColor="accent1"/>
    </w:rPr>
  </w:style>
  <w:style w:type="character" w:customStyle="1" w:styleId="Heading5Char">
    <w:name w:val="Heading 5 Char"/>
    <w:basedOn w:val="DefaultParagraphFont"/>
    <w:link w:val="Heading5"/>
    <w:uiPriority w:val="9"/>
    <w:semiHidden/>
    <w:rsid w:val="00FC693F"/>
    <w:rPr>
      <w:rFonts w:ascii="Arial" w:hAnsi="Arial" w:eastAsia="Arial" w:cs="Arial"/>
      <w:color w:val="243F60" w:themeColor="accent1" w:themeShade="7F"/>
    </w:rPr>
  </w:style>
  <w:style w:type="character" w:customStyle="1" w:styleId="Heading6Char">
    <w:name w:val="Heading 6 Char"/>
    <w:basedOn w:val="DefaultParagraphFont"/>
    <w:link w:val="Heading6"/>
    <w:uiPriority w:val="9"/>
    <w:semiHidden/>
    <w:rsid w:val="00FC693F"/>
    <w:rPr>
      <w:rFonts w:ascii="Arial" w:hAnsi="Arial" w:eastAsia="Arial" w:cs="Arial"/>
      <w:i/>
      <w:iCs/>
      <w:color w:val="243F60" w:themeColor="accent1" w:themeShade="7F"/>
    </w:rPr>
  </w:style>
  <w:style w:type="character" w:customStyle="1" w:styleId="Heading7Char">
    <w:name w:val="Heading 7 Char"/>
    <w:basedOn w:val="DefaultParagraphFont"/>
    <w:link w:val="Heading7"/>
    <w:uiPriority w:val="9"/>
    <w:semiHidden/>
    <w:rsid w:val="00FC693F"/>
    <w:rPr>
      <w:rFonts w:ascii="Arial" w:hAnsi="Arial" w:eastAsia="Arial" w:cs="Arial"/>
      <w:i/>
      <w:iCs/>
      <w:color w:val="404040" w:themeColor="text1" w:themeTint="BF"/>
    </w:rPr>
  </w:style>
  <w:style w:type="character" w:customStyle="1" w:styleId="Heading8Char">
    <w:name w:val="Heading 8 Char"/>
    <w:basedOn w:val="DefaultParagraphFont"/>
    <w:link w:val="Heading8"/>
    <w:uiPriority w:val="9"/>
    <w:semiHidden/>
    <w:rsid w:val="00FC693F"/>
    <w:rPr>
      <w:rFonts w:ascii="Arial" w:hAnsi="Arial" w:eastAsia="Arial" w:cs="Arial"/>
      <w:color w:val="4F81BD" w:themeColor="accent1"/>
      <w:sz w:val="20"/>
      <w:szCs w:val="20"/>
    </w:rPr>
  </w:style>
  <w:style w:type="character" w:customStyle="1" w:styleId="Heading9Char">
    <w:name w:val="Heading 9 Char"/>
    <w:basedOn w:val="DefaultParagraphFont"/>
    <w:link w:val="Heading9"/>
    <w:uiPriority w:val="9"/>
    <w:semiHidden/>
    <w:rsid w:val="00FC693F"/>
    <w:rPr>
      <w:rFonts w:ascii="Arial" w:hAnsi="Arial" w:eastAsia="Arial" w:cs="Arial"/>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Arial" w:hAnsi="Arial" w:eastAsia="Arial" w:cs="Arial"/>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Arial" w:hAnsi="Arial" w:eastAsia="Arial" w:cs="Arial"/>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Arial" w:hAnsi="Arial" w:eastAsia="Arial" w:cs="Arial"/>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Arial" w:hAnsi="Arial" w:eastAsia="Arial" w:cs="Arial"/>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Arial" w:hAnsi="Arial" w:eastAsia="Arial" w:cs="Arial"/>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Arial" w:hAnsi="Arial" w:eastAsia="Arial" w:cs="Arial"/>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Arial" w:hAnsi="Arial" w:eastAsia="Arial" w:cs="Arial"/>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Intelligent Panel Systems Ltd Letterhead</dc:title>
  <dc:subject>Construction RAMS and COSHH master for site-specific completion</dc:subject>
  <dc:creator>Intelligent Panel Systems Ltd</dc:creator>
  <cp:keywords/>
  <dc:description>generated by python-docx</dc:description>
  <cp:lastModifiedBy/>
  <cp:revision>1</cp:revision>
  <dcterms:created xsi:type="dcterms:W3CDTF">2013-12-23T23:15:00Z</dcterms:created>
  <dcterms:modified xsi:type="dcterms:W3CDTF">2013-12-23T23:15:00Z</dcterms:modified>
  <cp:category/>
</cp:coreProperties>
</file>